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7945B1" w:rsidRDefault="007A3C03"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20"/>
          <w:szCs w:val="20"/>
        </w:rPr>
      </w:pPr>
      <w:r>
        <w:rPr>
          <w:rFonts w:ascii="Bookman Old Style" w:hAnsi="Bookman Old Style" w:cs="Times-Bold"/>
          <w:b/>
          <w:bCs/>
          <w:sz w:val="20"/>
          <w:szCs w:val="20"/>
        </w:rPr>
        <w:t>CONTRATO Nº 027</w:t>
      </w:r>
      <w:r w:rsidR="007945B1" w:rsidRPr="007945B1">
        <w:rPr>
          <w:rFonts w:ascii="Bookman Old Style" w:hAnsi="Bookman Old Style" w:cs="Times-Bold"/>
          <w:b/>
          <w:bCs/>
          <w:sz w:val="20"/>
          <w:szCs w:val="20"/>
        </w:rPr>
        <w:t>_2014</w:t>
      </w:r>
    </w:p>
    <w:p w:rsidR="007945B1" w:rsidRPr="007945B1" w:rsidRDefault="007945B1"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20"/>
          <w:szCs w:val="20"/>
        </w:rPr>
      </w:pPr>
      <w:r w:rsidRPr="007945B1">
        <w:rPr>
          <w:rFonts w:ascii="Bookman Old Style" w:hAnsi="Bookman Old Style" w:cs="Times-Bold"/>
          <w:b/>
          <w:bCs/>
          <w:sz w:val="20"/>
          <w:szCs w:val="20"/>
        </w:rPr>
        <w:t>CONTRATO DE AQUISIÇÃO DE GÊNEROS ALIMENTÍCIOS SEM LICITAÇÃO DA AGRICULTURA FAMILIAR PARA A ALIENTAÇÃO ESCOLAR.</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C87A14">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A Prefeitura Municipal de São João da Urtiga, pessoa jurídica de direito público, com sede na Avenida Professor Zeferino, 991, inscrita no CNPJ sob nº 90.483.082/0001-65, representada neste ato pelo Prefeito Municipal, o Sr. EDERILDO BACHI, doravante denominado CONTRATANTE, e por outro lado </w:t>
      </w:r>
      <w:r w:rsidR="007A3C03" w:rsidRPr="0085101E">
        <w:rPr>
          <w:rFonts w:ascii="Bookman Old Style" w:hAnsi="Bookman Old Style" w:cs="Times-Roman"/>
          <w:b/>
          <w:sz w:val="22"/>
          <w:szCs w:val="22"/>
        </w:rPr>
        <w:t>ECOURTIGA</w:t>
      </w:r>
      <w:r w:rsidR="007A3C03" w:rsidRPr="007945B1">
        <w:rPr>
          <w:rFonts w:ascii="Bookman Old Style" w:hAnsi="Bookman Old Style" w:cs="Times-Roman"/>
          <w:sz w:val="20"/>
          <w:szCs w:val="20"/>
        </w:rPr>
        <w:t xml:space="preserve"> </w:t>
      </w:r>
      <w:r w:rsidRPr="007945B1">
        <w:rPr>
          <w:rFonts w:ascii="Bookman Old Style" w:hAnsi="Bookman Old Style" w:cs="Times-Roman"/>
          <w:sz w:val="20"/>
          <w:szCs w:val="20"/>
        </w:rPr>
        <w:t>doravante denominado (a) CONTRATADO (A), fundamentados nas disposições Lei n° 11.947/2009, e tendo em vista o que consta na Chamada Pública nº 001/2014, resolvem celebrar o presente contrato mediante as cláusulas que seguem:</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p>
    <w:p w:rsidR="007945B1" w:rsidRPr="007945B1" w:rsidRDefault="007945B1" w:rsidP="00C87A14">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É objeto desta contratação a aquisição de GÊNEROS ALIMENTÍCIOS DA AGRICULTURA FAMILIAR PARA ALIMENTAÇÃO ESCOLAR, para alunos da rede de educação básica pública, verba MFNDE/PNAE, 1º semestre de 2014, descritos nos itens enumerados na Cláusula Terceira, todos de acordo com a chamada pública nº 001/2014, o qual fica fazendo parte integrante do presente contrato, independentem</w:t>
      </w:r>
      <w:r w:rsidR="00C87A14">
        <w:rPr>
          <w:rFonts w:ascii="Bookman Old Style" w:hAnsi="Bookman Old Style" w:cs="Times-Roman"/>
          <w:sz w:val="20"/>
          <w:szCs w:val="20"/>
        </w:rPr>
        <w:t xml:space="preserve">ente de anexação ou </w:t>
      </w:r>
      <w:proofErr w:type="spellStart"/>
      <w:proofErr w:type="gramStart"/>
      <w:r w:rsidR="00C87A14">
        <w:rPr>
          <w:rFonts w:ascii="Bookman Old Style" w:hAnsi="Bookman Old Style" w:cs="Times-Roman"/>
          <w:sz w:val="20"/>
          <w:szCs w:val="20"/>
        </w:rPr>
        <w:t>transcriçã</w:t>
      </w:r>
      <w:proofErr w:type="spellEnd"/>
      <w:proofErr w:type="gramEnd"/>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TERCEIRA: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limite individual de venda de gêneros alimentícios do Agricultor Familiar e do Empreendedor Familiar Rural, neste </w:t>
      </w:r>
      <w:proofErr w:type="gramStart"/>
      <w:r w:rsidRPr="007945B1">
        <w:rPr>
          <w:rFonts w:ascii="Bookman Old Style" w:hAnsi="Bookman Old Style" w:cs="Times-Roman"/>
          <w:sz w:val="20"/>
          <w:szCs w:val="20"/>
        </w:rPr>
        <w:t>ato denominados CONTRATADOS</w:t>
      </w:r>
      <w:proofErr w:type="gramEnd"/>
      <w:r w:rsidRPr="007945B1">
        <w:rPr>
          <w:rFonts w:ascii="Bookman Old Style" w:hAnsi="Bookman Old Style" w:cs="Times-Roman"/>
          <w:sz w:val="20"/>
          <w:szCs w:val="20"/>
        </w:rPr>
        <w:t>, será de até R$ 9.000,00 (nove mil reais) por DAP por ano civil, referente à sua produção, conforme a legislação do Programa Nacional de Alimentação Escolar.</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QUARTA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QUINTA:</w:t>
      </w:r>
    </w:p>
    <w:p w:rsidR="007945B1" w:rsidRPr="007945B1" w:rsidRDefault="007945B1" w:rsidP="00C87A14">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O início para entrega das mercadorias será imediatamente após o recebimento da Ordem de Compra, expedida pela Secretaria de Educação, sendo o prazo do fornecimento até o término da quantidade adquirida ou até o final do 1º semestre do ano de 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Pr="007945B1">
        <w:rPr>
          <w:rFonts w:ascii="Bookman Old Style" w:hAnsi="Bookman Old Style" w:cs="Times-Roman"/>
          <w:b/>
          <w:sz w:val="20"/>
          <w:szCs w:val="20"/>
        </w:rPr>
        <w:t>Chamada Pública nº 001/2014.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SEXTA</w:t>
      </w:r>
      <w:r w:rsidRPr="007945B1">
        <w:rPr>
          <w:rFonts w:ascii="Bookman Old Style" w:hAnsi="Bookman Old Style" w:cs="Times-Roman"/>
          <w:sz w:val="20"/>
          <w:szCs w:val="20"/>
        </w:rPr>
        <w:t>:</w:t>
      </w:r>
    </w:p>
    <w:p w:rsid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7A3C03">
        <w:rPr>
          <w:rFonts w:ascii="Bookman Old Style" w:hAnsi="Bookman Old Style" w:cs="Times-Roman"/>
          <w:sz w:val="20"/>
          <w:szCs w:val="20"/>
        </w:rPr>
        <w:t>9.741,00</w:t>
      </w:r>
      <w:r w:rsidRPr="007945B1">
        <w:rPr>
          <w:rFonts w:ascii="Bookman Old Style" w:hAnsi="Bookman Old Style" w:cs="Times-Roman"/>
          <w:sz w:val="20"/>
          <w:szCs w:val="20"/>
        </w:rPr>
        <w:t>(</w:t>
      </w:r>
      <w:r w:rsidR="007A3C03">
        <w:rPr>
          <w:rFonts w:ascii="Bookman Old Style" w:hAnsi="Bookman Old Style" w:cs="Times-Roman"/>
          <w:sz w:val="20"/>
          <w:szCs w:val="20"/>
        </w:rPr>
        <w:t>nove mil setecentos e quarenta e um real</w:t>
      </w:r>
      <w:r w:rsidRPr="007945B1">
        <w:rPr>
          <w:rFonts w:ascii="Bookman Old Style" w:hAnsi="Bookman Old Style" w:cs="Times-Roman"/>
          <w:sz w:val="20"/>
          <w:szCs w:val="20"/>
        </w:rPr>
        <w:t>),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7A3C03" w:rsidRPr="009B6E67" w:rsidTr="00706237">
        <w:tc>
          <w:tcPr>
            <w:tcW w:w="1560" w:type="dxa"/>
          </w:tcPr>
          <w:p w:rsidR="007A3C03" w:rsidRPr="009B6E67" w:rsidRDefault="007A3C03" w:rsidP="00706237">
            <w:pPr>
              <w:spacing w:line="360" w:lineRule="auto"/>
              <w:jc w:val="center"/>
              <w:rPr>
                <w:rFonts w:ascii="Bookman Old Style" w:hAnsi="Bookman Old Style"/>
                <w:b/>
              </w:rPr>
            </w:pPr>
            <w:r w:rsidRPr="009B6E67">
              <w:rPr>
                <w:rFonts w:ascii="Bookman Old Style" w:hAnsi="Bookman Old Style"/>
                <w:b/>
              </w:rPr>
              <w:t>UN</w:t>
            </w:r>
          </w:p>
        </w:tc>
        <w:tc>
          <w:tcPr>
            <w:tcW w:w="4200" w:type="dxa"/>
          </w:tcPr>
          <w:p w:rsidR="007A3C03" w:rsidRPr="009B6E67" w:rsidRDefault="007A3C03" w:rsidP="00706237">
            <w:pPr>
              <w:spacing w:line="360" w:lineRule="auto"/>
              <w:jc w:val="center"/>
              <w:rPr>
                <w:rFonts w:ascii="Bookman Old Style" w:hAnsi="Bookman Old Style"/>
                <w:b/>
              </w:rPr>
            </w:pPr>
            <w:r w:rsidRPr="009B6E67">
              <w:rPr>
                <w:rFonts w:ascii="Bookman Old Style" w:hAnsi="Bookman Old Style"/>
                <w:b/>
              </w:rPr>
              <w:t>Produtos</w:t>
            </w:r>
          </w:p>
        </w:tc>
        <w:tc>
          <w:tcPr>
            <w:tcW w:w="1680" w:type="dxa"/>
          </w:tcPr>
          <w:p w:rsidR="007A3C03" w:rsidRPr="009B6E67" w:rsidRDefault="007A3C03" w:rsidP="00706237">
            <w:pPr>
              <w:spacing w:line="360" w:lineRule="auto"/>
              <w:jc w:val="center"/>
              <w:rPr>
                <w:rFonts w:ascii="Bookman Old Style" w:hAnsi="Bookman Old Style"/>
                <w:b/>
              </w:rPr>
            </w:pPr>
            <w:r w:rsidRPr="009B6E67">
              <w:rPr>
                <w:rFonts w:ascii="Bookman Old Style" w:hAnsi="Bookman Old Style"/>
                <w:b/>
              </w:rPr>
              <w:t>Preço unitário</w:t>
            </w:r>
          </w:p>
        </w:tc>
        <w:tc>
          <w:tcPr>
            <w:tcW w:w="1560" w:type="dxa"/>
          </w:tcPr>
          <w:p w:rsidR="007A3C03" w:rsidRPr="009B6E67" w:rsidRDefault="007A3C03" w:rsidP="00706237">
            <w:pPr>
              <w:spacing w:line="360" w:lineRule="auto"/>
              <w:jc w:val="center"/>
              <w:rPr>
                <w:rFonts w:ascii="Bookman Old Style" w:hAnsi="Bookman Old Style"/>
                <w:b/>
              </w:rPr>
            </w:pPr>
            <w:r w:rsidRPr="009B6E67">
              <w:rPr>
                <w:rFonts w:ascii="Bookman Old Style" w:hAnsi="Bookman Old Style"/>
                <w:b/>
              </w:rPr>
              <w:t>Preço total</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proofErr w:type="gramStart"/>
            <w:r>
              <w:rPr>
                <w:rFonts w:ascii="Bookman Old Style" w:hAnsi="Bookman Old Style"/>
              </w:rPr>
              <w:t>300</w:t>
            </w:r>
            <w:r w:rsidRPr="009B6E67">
              <w:rPr>
                <w:rFonts w:ascii="Bookman Old Style" w:hAnsi="Bookman Old Style"/>
              </w:rPr>
              <w:t xml:space="preserve"> </w:t>
            </w:r>
            <w:proofErr w:type="spellStart"/>
            <w:r w:rsidRPr="009B6E67">
              <w:rPr>
                <w:rFonts w:ascii="Bookman Old Style" w:hAnsi="Bookman Old Style"/>
              </w:rPr>
              <w:t>Lts</w:t>
            </w:r>
            <w:proofErr w:type="spellEnd"/>
            <w:proofErr w:type="gramEnd"/>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Suco de Laranja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4,05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1.215,00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proofErr w:type="gramStart"/>
            <w:r>
              <w:rPr>
                <w:rFonts w:ascii="Bookman Old Style" w:hAnsi="Bookman Old Style"/>
              </w:rPr>
              <w:t>200</w:t>
            </w:r>
            <w:r w:rsidRPr="009B6E67">
              <w:rPr>
                <w:rFonts w:ascii="Bookman Old Style" w:hAnsi="Bookman Old Style"/>
              </w:rPr>
              <w:t xml:space="preserve"> </w:t>
            </w:r>
            <w:proofErr w:type="spellStart"/>
            <w:r w:rsidRPr="009B6E67">
              <w:rPr>
                <w:rFonts w:ascii="Bookman Old Style" w:hAnsi="Bookman Old Style"/>
              </w:rPr>
              <w:t>Lts</w:t>
            </w:r>
            <w:proofErr w:type="spellEnd"/>
            <w:proofErr w:type="gramEnd"/>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Suco de Uva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6,75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1.350,00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 xml:space="preserve">100 </w:t>
            </w:r>
            <w:r w:rsidRPr="009B6E67">
              <w:rPr>
                <w:rFonts w:ascii="Bookman Old Style" w:hAnsi="Bookman Old Style"/>
              </w:rPr>
              <w:t>Kg.</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Laranja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1,10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110,00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proofErr w:type="gramStart"/>
            <w:r>
              <w:rPr>
                <w:rFonts w:ascii="Bookman Old Style" w:hAnsi="Bookman Old Style"/>
              </w:rPr>
              <w:t>200</w:t>
            </w:r>
            <w:r w:rsidRPr="009B6E67">
              <w:rPr>
                <w:rFonts w:ascii="Bookman Old Style" w:hAnsi="Bookman Old Style"/>
              </w:rPr>
              <w:t xml:space="preserve"> </w:t>
            </w:r>
            <w:proofErr w:type="spellStart"/>
            <w:r w:rsidRPr="009B6E67">
              <w:rPr>
                <w:rFonts w:ascii="Bookman Old Style" w:hAnsi="Bookman Old Style"/>
              </w:rPr>
              <w:t>Lts</w:t>
            </w:r>
            <w:proofErr w:type="spellEnd"/>
            <w:proofErr w:type="gramEnd"/>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Vinagre</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3,70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740,00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150 Kg"/>
              </w:smartTagPr>
              <w:r>
                <w:rPr>
                  <w:rFonts w:ascii="Bookman Old Style" w:hAnsi="Bookman Old Style"/>
                </w:rPr>
                <w:t>150 Kg</w:t>
              </w:r>
            </w:smartTag>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Repolho</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1,90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285,00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20</w:t>
            </w:r>
            <w:r w:rsidRPr="009B6E67">
              <w:rPr>
                <w:rFonts w:ascii="Bookman Old Style" w:hAnsi="Bookman Old Style"/>
              </w:rPr>
              <w:t>0 Kg.</w:t>
            </w:r>
          </w:p>
        </w:tc>
        <w:tc>
          <w:tcPr>
            <w:tcW w:w="4200" w:type="dxa"/>
          </w:tcPr>
          <w:p w:rsidR="007A3C03" w:rsidRPr="009B6E67" w:rsidRDefault="007A3C03" w:rsidP="00706237">
            <w:pPr>
              <w:spacing w:line="360" w:lineRule="auto"/>
              <w:jc w:val="both"/>
              <w:rPr>
                <w:rFonts w:ascii="Bookman Old Style" w:hAnsi="Bookman Old Style"/>
              </w:rPr>
            </w:pPr>
            <w:proofErr w:type="spellStart"/>
            <w:r w:rsidRPr="009B6E67">
              <w:rPr>
                <w:rFonts w:ascii="Bookman Old Style" w:hAnsi="Bookman Old Style"/>
              </w:rPr>
              <w:t>Chimia</w:t>
            </w:r>
            <w:proofErr w:type="spellEnd"/>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8,45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1.690,00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8</w:t>
            </w:r>
            <w:r w:rsidRPr="009B6E67">
              <w:rPr>
                <w:rFonts w:ascii="Bookman Old Style" w:hAnsi="Bookman Old Style"/>
              </w:rPr>
              <w:t>00 Un.</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Alface</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1,10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880,00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10</w:t>
            </w:r>
            <w:r w:rsidRPr="009B6E67">
              <w:rPr>
                <w:rFonts w:ascii="Bookman Old Style" w:hAnsi="Bookman Old Style"/>
              </w:rPr>
              <w:t>0 Kg.</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Açúcar Mascavo</w:t>
            </w:r>
          </w:p>
        </w:tc>
        <w:tc>
          <w:tcPr>
            <w:tcW w:w="1680" w:type="dxa"/>
          </w:tcPr>
          <w:p w:rsidR="007A3C03" w:rsidRPr="009B6E67" w:rsidRDefault="007A3C03" w:rsidP="00706237">
            <w:pPr>
              <w:spacing w:line="360" w:lineRule="auto"/>
              <w:jc w:val="both"/>
              <w:rPr>
                <w:rFonts w:ascii="Bookman Old Style" w:hAnsi="Bookman Old Style"/>
              </w:rPr>
            </w:pPr>
          </w:p>
        </w:tc>
        <w:tc>
          <w:tcPr>
            <w:tcW w:w="1560" w:type="dxa"/>
          </w:tcPr>
          <w:p w:rsidR="007A3C03" w:rsidRPr="009B6E67" w:rsidRDefault="007A3C03" w:rsidP="00706237">
            <w:pPr>
              <w:spacing w:line="360" w:lineRule="auto"/>
              <w:jc w:val="both"/>
              <w:rPr>
                <w:rFonts w:ascii="Bookman Old Style" w:hAnsi="Bookman Old Style"/>
              </w:rPr>
            </w:pP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100 Kg"/>
              </w:smartTagPr>
              <w:r>
                <w:rPr>
                  <w:rFonts w:ascii="Bookman Old Style" w:hAnsi="Bookman Old Style"/>
                </w:rPr>
                <w:t>10</w:t>
              </w:r>
              <w:r w:rsidRPr="009B6E67">
                <w:rPr>
                  <w:rFonts w:ascii="Bookman Old Style" w:hAnsi="Bookman Old Style"/>
                </w:rPr>
                <w:t>0 Kg</w:t>
              </w:r>
            </w:smartTag>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Mandioca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2,45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245,00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30 kg</w:t>
            </w:r>
          </w:p>
        </w:tc>
        <w:tc>
          <w:tcPr>
            <w:tcW w:w="420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Cenoura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2,70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81,00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80 Kg"/>
              </w:smartTagPr>
              <w:r>
                <w:rPr>
                  <w:rFonts w:ascii="Bookman Old Style" w:hAnsi="Bookman Old Style"/>
                </w:rPr>
                <w:t>8</w:t>
              </w:r>
              <w:r w:rsidRPr="009B6E67">
                <w:rPr>
                  <w:rFonts w:ascii="Bookman Old Style" w:hAnsi="Bookman Old Style"/>
                </w:rPr>
                <w:t>0 Kg</w:t>
              </w:r>
            </w:smartTag>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Feijão</w:t>
            </w:r>
            <w:r>
              <w:rPr>
                <w:rFonts w:ascii="Bookman Old Style" w:hAnsi="Bookman Old Style"/>
              </w:rPr>
              <w:t xml:space="preserve"> preto</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4,25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340,00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50 kg</w:t>
            </w:r>
          </w:p>
        </w:tc>
        <w:tc>
          <w:tcPr>
            <w:tcW w:w="420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Feijão carioca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4,00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200,00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 xml:space="preserve">200 </w:t>
            </w:r>
            <w:proofErr w:type="spellStart"/>
            <w:r>
              <w:rPr>
                <w:rFonts w:ascii="Bookman Old Style" w:hAnsi="Bookman Old Style"/>
              </w:rPr>
              <w:t>kf</w:t>
            </w:r>
            <w:proofErr w:type="spellEnd"/>
          </w:p>
        </w:tc>
        <w:tc>
          <w:tcPr>
            <w:tcW w:w="420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 xml:space="preserve">Pêssego </w:t>
            </w:r>
          </w:p>
        </w:tc>
        <w:tc>
          <w:tcPr>
            <w:tcW w:w="1680" w:type="dxa"/>
          </w:tcPr>
          <w:p w:rsidR="007A3C03" w:rsidRPr="009B6E67" w:rsidRDefault="007A3C03" w:rsidP="00706237">
            <w:pPr>
              <w:spacing w:line="360" w:lineRule="auto"/>
              <w:jc w:val="both"/>
              <w:rPr>
                <w:rFonts w:ascii="Bookman Old Style" w:hAnsi="Bookman Old Style"/>
              </w:rPr>
            </w:pPr>
          </w:p>
        </w:tc>
        <w:tc>
          <w:tcPr>
            <w:tcW w:w="1560" w:type="dxa"/>
          </w:tcPr>
          <w:p w:rsidR="007A3C03" w:rsidRPr="009B6E67" w:rsidRDefault="007A3C03" w:rsidP="00706237">
            <w:pPr>
              <w:spacing w:line="360" w:lineRule="auto"/>
              <w:jc w:val="both"/>
              <w:rPr>
                <w:rFonts w:ascii="Bookman Old Style" w:hAnsi="Bookman Old Style"/>
              </w:rPr>
            </w:pP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50 Kg"/>
              </w:smartTagPr>
              <w:r>
                <w:rPr>
                  <w:rFonts w:ascii="Bookman Old Style" w:hAnsi="Bookman Old Style"/>
                </w:rPr>
                <w:t>5</w:t>
              </w:r>
              <w:r w:rsidRPr="009B6E67">
                <w:rPr>
                  <w:rFonts w:ascii="Bookman Old Style" w:hAnsi="Bookman Old Style"/>
                </w:rPr>
                <w:t>0 Kg</w:t>
              </w:r>
            </w:smartTag>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sidRPr="009B6E67">
              <w:rPr>
                <w:rFonts w:ascii="Bookman Old Style" w:hAnsi="Bookman Old Style"/>
              </w:rPr>
              <w:t>Cebola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2,50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125,00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200 Kg"/>
              </w:smartTagPr>
              <w:r>
                <w:rPr>
                  <w:rFonts w:ascii="Bookman Old Style" w:hAnsi="Bookman Old Style"/>
                </w:rPr>
                <w:t>2</w:t>
              </w:r>
              <w:r w:rsidRPr="009B6E67">
                <w:rPr>
                  <w:rFonts w:ascii="Bookman Old Style" w:hAnsi="Bookman Old Style"/>
                </w:rPr>
                <w:t>00 Kg</w:t>
              </w:r>
            </w:smartTag>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proofErr w:type="spellStart"/>
            <w:r w:rsidRPr="009B6E67">
              <w:rPr>
                <w:rFonts w:ascii="Bookman Old Style" w:hAnsi="Bookman Old Style"/>
              </w:rPr>
              <w:t>Morgota</w:t>
            </w:r>
            <w:proofErr w:type="spellEnd"/>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1,50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300,00</w:t>
            </w: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smartTag w:uri="urn:schemas-microsoft-com:office:smarttags" w:element="metricconverter">
              <w:smartTagPr>
                <w:attr w:name="ProductID" w:val="30 Kg"/>
              </w:smartTagPr>
              <w:r>
                <w:rPr>
                  <w:rFonts w:ascii="Bookman Old Style" w:hAnsi="Bookman Old Style"/>
                </w:rPr>
                <w:t>30 Kg</w:t>
              </w:r>
            </w:smartTag>
            <w:r w:rsidRPr="009B6E67">
              <w:rPr>
                <w:rFonts w:ascii="Bookman Old Style" w:hAnsi="Bookman Old Style"/>
              </w:rPr>
              <w:t>.</w:t>
            </w:r>
          </w:p>
        </w:tc>
        <w:tc>
          <w:tcPr>
            <w:tcW w:w="420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Ervilha</w:t>
            </w:r>
          </w:p>
        </w:tc>
        <w:tc>
          <w:tcPr>
            <w:tcW w:w="1680" w:type="dxa"/>
          </w:tcPr>
          <w:p w:rsidR="007A3C03" w:rsidRPr="009B6E67" w:rsidRDefault="007A3C03" w:rsidP="00706237">
            <w:pPr>
              <w:spacing w:line="360" w:lineRule="auto"/>
              <w:jc w:val="both"/>
              <w:rPr>
                <w:rFonts w:ascii="Bookman Old Style" w:hAnsi="Bookman Old Style"/>
              </w:rPr>
            </w:pPr>
          </w:p>
        </w:tc>
        <w:tc>
          <w:tcPr>
            <w:tcW w:w="1560" w:type="dxa"/>
          </w:tcPr>
          <w:p w:rsidR="007A3C03" w:rsidRPr="009B6E67" w:rsidRDefault="007A3C03" w:rsidP="00706237">
            <w:pPr>
              <w:spacing w:line="360" w:lineRule="auto"/>
              <w:jc w:val="both"/>
              <w:rPr>
                <w:rFonts w:ascii="Bookman Old Style" w:hAnsi="Bookman Old Style"/>
              </w:rPr>
            </w:pPr>
          </w:p>
        </w:tc>
      </w:tr>
      <w:tr w:rsidR="007A3C03" w:rsidRPr="009B6E67" w:rsidTr="00706237">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150</w:t>
            </w:r>
            <w:r w:rsidRPr="009B6E67">
              <w:rPr>
                <w:rFonts w:ascii="Bookman Old Style" w:hAnsi="Bookman Old Style"/>
              </w:rPr>
              <w:t xml:space="preserve"> </w:t>
            </w:r>
            <w:r>
              <w:rPr>
                <w:rFonts w:ascii="Bookman Old Style" w:hAnsi="Bookman Old Style"/>
              </w:rPr>
              <w:t>Molho</w:t>
            </w:r>
          </w:p>
        </w:tc>
        <w:tc>
          <w:tcPr>
            <w:tcW w:w="420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Tempero verde</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1,25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187,50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 xml:space="preserve">50 kg </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Abacate</w:t>
            </w:r>
          </w:p>
        </w:tc>
        <w:tc>
          <w:tcPr>
            <w:tcW w:w="1680" w:type="dxa"/>
          </w:tcPr>
          <w:p w:rsidR="007A3C03" w:rsidRPr="009B6E67" w:rsidRDefault="007A3C03" w:rsidP="00706237">
            <w:pPr>
              <w:spacing w:line="360" w:lineRule="auto"/>
              <w:jc w:val="both"/>
              <w:rPr>
                <w:rFonts w:ascii="Bookman Old Style" w:hAnsi="Bookman Old Style"/>
              </w:rPr>
            </w:pPr>
          </w:p>
        </w:tc>
        <w:tc>
          <w:tcPr>
            <w:tcW w:w="1560" w:type="dxa"/>
          </w:tcPr>
          <w:p w:rsidR="007A3C03" w:rsidRPr="009B6E67" w:rsidRDefault="007A3C03" w:rsidP="00706237">
            <w:pPr>
              <w:spacing w:line="360" w:lineRule="auto"/>
              <w:jc w:val="both"/>
              <w:rPr>
                <w:rFonts w:ascii="Bookman Old Style" w:hAnsi="Bookman Old Style"/>
              </w:rPr>
            </w:pP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lastRenderedPageBreak/>
              <w:t>500 kg</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Caqui</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2,00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1.000,00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100 kg</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Moranga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1,50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150,00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 xml:space="preserve">50 kg </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Beterraba</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2,60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130,00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50 kg</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Chuchu</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1,25</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62,50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50 kg</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Vagem</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3,00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150,00</w:t>
            </w: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 xml:space="preserve">50 kg </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Brócolis</w:t>
            </w:r>
          </w:p>
        </w:tc>
        <w:tc>
          <w:tcPr>
            <w:tcW w:w="1680" w:type="dxa"/>
          </w:tcPr>
          <w:p w:rsidR="007A3C03" w:rsidRPr="009B6E67" w:rsidRDefault="007A3C03" w:rsidP="00706237">
            <w:pPr>
              <w:spacing w:line="360" w:lineRule="auto"/>
              <w:jc w:val="both"/>
              <w:rPr>
                <w:rFonts w:ascii="Bookman Old Style" w:hAnsi="Bookman Old Style"/>
              </w:rPr>
            </w:pPr>
          </w:p>
        </w:tc>
        <w:tc>
          <w:tcPr>
            <w:tcW w:w="1560" w:type="dxa"/>
          </w:tcPr>
          <w:p w:rsidR="007A3C03" w:rsidRPr="009B6E67" w:rsidRDefault="007A3C03" w:rsidP="00706237">
            <w:pPr>
              <w:spacing w:line="360" w:lineRule="auto"/>
              <w:jc w:val="both"/>
              <w:rPr>
                <w:rFonts w:ascii="Bookman Old Style" w:hAnsi="Bookman Old Style"/>
              </w:rPr>
            </w:pPr>
          </w:p>
        </w:tc>
      </w:tr>
      <w:tr w:rsidR="007A3C03" w:rsidRPr="009B6E67" w:rsidTr="00706237">
        <w:tc>
          <w:tcPr>
            <w:tcW w:w="1560" w:type="dxa"/>
          </w:tcPr>
          <w:p w:rsidR="007A3C03" w:rsidRDefault="007A3C03" w:rsidP="00706237">
            <w:pPr>
              <w:spacing w:line="360" w:lineRule="auto"/>
              <w:jc w:val="both"/>
              <w:rPr>
                <w:rFonts w:ascii="Bookman Old Style" w:hAnsi="Bookman Old Style"/>
              </w:rPr>
            </w:pPr>
            <w:r>
              <w:rPr>
                <w:rFonts w:ascii="Bookman Old Style" w:hAnsi="Bookman Old Style"/>
              </w:rPr>
              <w:t>50 kg</w:t>
            </w:r>
          </w:p>
        </w:tc>
        <w:tc>
          <w:tcPr>
            <w:tcW w:w="4200" w:type="dxa"/>
          </w:tcPr>
          <w:p w:rsidR="007A3C03" w:rsidRDefault="007A3C03" w:rsidP="00706237">
            <w:pPr>
              <w:spacing w:line="360" w:lineRule="auto"/>
              <w:jc w:val="both"/>
              <w:rPr>
                <w:rFonts w:ascii="Bookman Old Style" w:hAnsi="Bookman Old Style"/>
              </w:rPr>
            </w:pPr>
            <w:r>
              <w:rPr>
                <w:rFonts w:ascii="Bookman Old Style" w:hAnsi="Bookman Old Style"/>
              </w:rPr>
              <w:t>Mel</w:t>
            </w:r>
          </w:p>
        </w:tc>
        <w:tc>
          <w:tcPr>
            <w:tcW w:w="168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10,00</w:t>
            </w:r>
          </w:p>
        </w:tc>
        <w:tc>
          <w:tcPr>
            <w:tcW w:w="1560" w:type="dxa"/>
          </w:tcPr>
          <w:p w:rsidR="007A3C03" w:rsidRPr="009B6E67" w:rsidRDefault="007A3C03" w:rsidP="00706237">
            <w:pPr>
              <w:spacing w:line="360" w:lineRule="auto"/>
              <w:jc w:val="both"/>
              <w:rPr>
                <w:rFonts w:ascii="Bookman Old Style" w:hAnsi="Bookman Old Style"/>
              </w:rPr>
            </w:pPr>
            <w:r>
              <w:rPr>
                <w:rFonts w:ascii="Bookman Old Style" w:hAnsi="Bookman Old Style"/>
              </w:rPr>
              <w:t>500,00</w:t>
            </w:r>
          </w:p>
        </w:tc>
      </w:tr>
    </w:tbl>
    <w:p w:rsidR="007A3C03" w:rsidRDefault="007A3C03" w:rsidP="007945B1">
      <w:pPr>
        <w:autoSpaceDE w:val="0"/>
        <w:autoSpaceDN w:val="0"/>
        <w:adjustRightInd w:val="0"/>
        <w:spacing w:line="360" w:lineRule="auto"/>
        <w:ind w:right="588"/>
        <w:jc w:val="both"/>
        <w:rPr>
          <w:rFonts w:ascii="Bookman Old Style" w:hAnsi="Bookman Old Style" w:cs="Times-Bold"/>
          <w:b/>
          <w:bCs/>
          <w:sz w:val="20"/>
          <w:szCs w:val="20"/>
        </w:rPr>
      </w:pP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SÉTIMA:</w:t>
      </w:r>
    </w:p>
    <w:p w:rsidR="007945B1" w:rsidRPr="007945B1" w:rsidRDefault="007945B1" w:rsidP="00C87A14">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OITAVA:</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As despesas decorrentes do presente contrato correrão à conta das seguintes dotações orçamentárias:</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2014 – Manutenção</w:t>
      </w:r>
      <w:proofErr w:type="gramEnd"/>
      <w:r w:rsidRPr="007945B1">
        <w:rPr>
          <w:rFonts w:ascii="Bookman Old Style" w:hAnsi="Bookman Old Style"/>
          <w:sz w:val="20"/>
          <w:szCs w:val="20"/>
        </w:rPr>
        <w:t xml:space="preserve"> da Alimentação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3.3.90.30.00 – Material de Consumo (93)</w:t>
      </w:r>
    </w:p>
    <w:p w:rsidR="007945B1" w:rsidRPr="007945B1" w:rsidRDefault="007945B1" w:rsidP="007945B1">
      <w:pPr>
        <w:ind w:right="588" w:firstLine="1418"/>
        <w:jc w:val="both"/>
        <w:rPr>
          <w:rFonts w:ascii="Bookman Old Style" w:hAnsi="Bookman Old Style"/>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2039 – Contr. Mun. Manutenção da </w:t>
      </w:r>
      <w:proofErr w:type="gramStart"/>
      <w:r w:rsidRPr="007945B1">
        <w:rPr>
          <w:rFonts w:ascii="Bookman Old Style" w:hAnsi="Bookman Old Style"/>
          <w:sz w:val="20"/>
          <w:szCs w:val="20"/>
        </w:rPr>
        <w:t>Merenda</w:t>
      </w:r>
      <w:proofErr w:type="gramEnd"/>
      <w:r w:rsidRPr="007945B1">
        <w:rPr>
          <w:rFonts w:ascii="Bookman Old Style" w:hAnsi="Bookman Old Style"/>
          <w:sz w:val="20"/>
          <w:szCs w:val="20"/>
        </w:rPr>
        <w:t xml:space="preserve"> </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3.3.90.30.00 – Material de Consumo (94) </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NONA:</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DÉCIMA: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ONZE: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1º, do art. 20 da Lei n° 11.947/2009 e demais legislações relacionadas.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DOZE: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TREZE:</w:t>
      </w:r>
    </w:p>
    <w:p w:rsidR="007945B1" w:rsidRPr="007945B1" w:rsidRDefault="007945B1" w:rsidP="00C87A14">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QUATORZE: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QUINZE: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DEZESSEIS: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DEZESSETE: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DEZOITO: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lastRenderedPageBreak/>
        <w:t>O presente contrato rege-se, ainda, pela chamada pública nº 001/2013, e pela Lei n° 11.947/2009 e o dispositivo que a regulamente, em todos os seus termos, a qual será aplicada, também, onde o contrato for omisso.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DEZENOVE:</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Bold"/>
          <w:b/>
          <w:bCs/>
          <w:sz w:val="20"/>
          <w:szCs w:val="20"/>
        </w:rPr>
      </w:pPr>
      <w:r w:rsidRPr="007945B1">
        <w:rPr>
          <w:rFonts w:ascii="Bookman Old Style" w:hAnsi="Bookman Old Style" w:cs="Times-Roman"/>
          <w:sz w:val="20"/>
          <w:szCs w:val="20"/>
        </w:rPr>
        <w:t xml:space="preserve">Este Contrato poderá ser aditado a qualquer tempo, mediante acordo </w:t>
      </w:r>
      <w:proofErr w:type="gramStart"/>
      <w:r w:rsidRPr="007945B1">
        <w:rPr>
          <w:rFonts w:ascii="Bookman Old Style" w:hAnsi="Bookman Old Style" w:cs="Times-Roman"/>
          <w:sz w:val="20"/>
          <w:szCs w:val="20"/>
        </w:rPr>
        <w:t>formal entre as partes, resguardadas</w:t>
      </w:r>
      <w:proofErr w:type="gramEnd"/>
      <w:r w:rsidRPr="007945B1">
        <w:rPr>
          <w:rFonts w:ascii="Bookman Old Style" w:hAnsi="Bookman Old Style" w:cs="Times-Roman"/>
          <w:sz w:val="20"/>
          <w:szCs w:val="20"/>
        </w:rPr>
        <w:t xml:space="preserve"> as suas condições essenciais. Programa Nacional de Alimentação Escolar - PNAE </w:t>
      </w:r>
      <w:r w:rsidRPr="007945B1">
        <w:rPr>
          <w:rFonts w:ascii="Bookman Old Style" w:hAnsi="Bookman Old Style" w:cs="Times-Bold"/>
          <w:b/>
          <w:bCs/>
          <w:sz w:val="20"/>
          <w:szCs w:val="20"/>
        </w:rPr>
        <w:t>ANEXO IV (cont.)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w:t>
      </w:r>
    </w:p>
    <w:p w:rsidR="007945B1" w:rsidRPr="007945B1" w:rsidRDefault="007945B1" w:rsidP="00C87A14">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UM:</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DOIS:</w:t>
      </w:r>
    </w:p>
    <w:p w:rsidR="007945B1" w:rsidRPr="007945B1" w:rsidRDefault="007945B1" w:rsidP="00C87A14">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presente contrato vigorará da sua assinatura até a entrega total dos produtos adquiridos ou até o final do 1º semestre do ano de 2014.</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TRÊS:</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652849" w:rsidP="007945B1">
      <w:pPr>
        <w:autoSpaceDE w:val="0"/>
        <w:autoSpaceDN w:val="0"/>
        <w:adjustRightInd w:val="0"/>
        <w:spacing w:line="360" w:lineRule="auto"/>
        <w:ind w:right="708"/>
        <w:jc w:val="both"/>
        <w:rPr>
          <w:rFonts w:ascii="Bookman Old Style" w:hAnsi="Bookman Old Style" w:cs="Times-Roman"/>
          <w:sz w:val="20"/>
          <w:szCs w:val="20"/>
        </w:rPr>
      </w:pPr>
      <w:r>
        <w:rPr>
          <w:rFonts w:ascii="Bookman Old Style" w:hAnsi="Bookman Old Style" w:cs="Times-Roman"/>
          <w:sz w:val="20"/>
          <w:szCs w:val="20"/>
        </w:rPr>
        <w:t>São João da Urtiga, 17 de fevereiro  de 2014</w:t>
      </w:r>
      <w:r w:rsidR="007945B1"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bookmarkStart w:id="0" w:name="_GoBack"/>
      <w:bookmarkEnd w:id="0"/>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2C3D71"/>
    <w:rsid w:val="00652849"/>
    <w:rsid w:val="007631F5"/>
    <w:rsid w:val="007945B1"/>
    <w:rsid w:val="007A3C03"/>
    <w:rsid w:val="00C87A14"/>
    <w:rsid w:val="00D33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9174-4CF7-4B2B-9B85-A2A57226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4</cp:revision>
  <cp:lastPrinted>2014-02-14T18:56:00Z</cp:lastPrinted>
  <dcterms:created xsi:type="dcterms:W3CDTF">2014-02-14T19:15:00Z</dcterms:created>
  <dcterms:modified xsi:type="dcterms:W3CDTF">2014-02-14T19:21:00Z</dcterms:modified>
</cp:coreProperties>
</file>