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B7" w:rsidRDefault="007770B7" w:rsidP="00DB2114"/>
    <w:p w:rsidR="00DB2114" w:rsidRDefault="00DB2114" w:rsidP="00DB2114"/>
    <w:p w:rsidR="00DB2114" w:rsidRDefault="00DB2114" w:rsidP="00DB2114"/>
    <w:p w:rsidR="00DB2114" w:rsidRDefault="00DB2114" w:rsidP="00DB2114"/>
    <w:p w:rsidR="00DB2114" w:rsidRDefault="00DB2114" w:rsidP="00DB2114"/>
    <w:p w:rsidR="00101B7E" w:rsidRDefault="00101B7E" w:rsidP="00DB2114">
      <w:pPr>
        <w:pStyle w:val="Ttulo4"/>
        <w:shd w:val="clear" w:color="auto" w:fill="FFFFFF"/>
        <w:spacing w:before="0" w:line="240" w:lineRule="atLeast"/>
        <w:jc w:val="center"/>
        <w:textAlignment w:val="baseline"/>
        <w:rPr>
          <w:rStyle w:val="Forte"/>
          <w:rFonts w:ascii="Times New Roman" w:hAnsi="Times New Roman" w:cs="Times New Roman"/>
          <w:i w:val="0"/>
          <w:color w:val="000000" w:themeColor="text1"/>
          <w:u w:val="single"/>
          <w:bdr w:val="none" w:sz="0" w:space="0" w:color="auto" w:frame="1"/>
        </w:rPr>
      </w:pPr>
      <w:bookmarkStart w:id="0" w:name="_GoBack"/>
      <w:bookmarkEnd w:id="0"/>
    </w:p>
    <w:p w:rsidR="005C7785" w:rsidRDefault="005C7785" w:rsidP="00DB2114">
      <w:pPr>
        <w:pStyle w:val="Ttulo4"/>
        <w:shd w:val="clear" w:color="auto" w:fill="FFFFFF"/>
        <w:spacing w:before="0" w:line="240" w:lineRule="atLeast"/>
        <w:jc w:val="center"/>
        <w:textAlignment w:val="baseline"/>
        <w:rPr>
          <w:rStyle w:val="Forte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Style w:val="Forte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CONTRATO 109/2018</w:t>
      </w:r>
    </w:p>
    <w:p w:rsidR="00DB2114" w:rsidRPr="00101B7E" w:rsidRDefault="00DB2114" w:rsidP="00DB2114">
      <w:pPr>
        <w:pStyle w:val="Ttulo4"/>
        <w:shd w:val="clear" w:color="auto" w:fill="FFFFFF"/>
        <w:spacing w:before="0" w:line="240" w:lineRule="atLeast"/>
        <w:jc w:val="center"/>
        <w:textAlignment w:val="baseline"/>
        <w:rPr>
          <w:rStyle w:val="Forte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101B7E">
        <w:rPr>
          <w:rStyle w:val="Forte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TERMO DE FOMENTO</w:t>
      </w:r>
    </w:p>
    <w:p w:rsidR="00DB2114" w:rsidRPr="002555BB" w:rsidRDefault="00DB2114" w:rsidP="00DB2114">
      <w:pPr>
        <w:jc w:val="center"/>
      </w:pPr>
    </w:p>
    <w:p w:rsidR="00DB2114" w:rsidRPr="002555BB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555BB">
        <w:rPr>
          <w:color w:val="000000" w:themeColor="text1"/>
        </w:rPr>
        <w:t> </w:t>
      </w:r>
    </w:p>
    <w:p w:rsidR="00DB2114" w:rsidRPr="00BD2CB5" w:rsidRDefault="00DB2114" w:rsidP="00DB2114">
      <w:pPr>
        <w:pStyle w:val="NormalWeb"/>
        <w:shd w:val="clear" w:color="auto" w:fill="FFFFFF"/>
        <w:spacing w:before="0" w:beforeAutospacing="0" w:after="0" w:afterAutospacing="0"/>
        <w:ind w:left="2835"/>
        <w:jc w:val="both"/>
        <w:textAlignment w:val="baseline"/>
        <w:rPr>
          <w:sz w:val="20"/>
          <w:szCs w:val="20"/>
        </w:rPr>
      </w:pPr>
      <w:r w:rsidRPr="00BD2CB5">
        <w:rPr>
          <w:sz w:val="20"/>
          <w:szCs w:val="20"/>
        </w:rPr>
        <w:t xml:space="preserve">Termo de Fomento firmado pelo Município e OSC </w:t>
      </w:r>
      <w:r w:rsidR="00325CB2" w:rsidRPr="00BD2CB5">
        <w:rPr>
          <w:sz w:val="20"/>
          <w:szCs w:val="20"/>
        </w:rPr>
        <w:t>Conselho Comunitário Pro-Segurança Pública de São João da Urtiga</w:t>
      </w:r>
      <w:r w:rsidRPr="00BD2CB5">
        <w:rPr>
          <w:sz w:val="20"/>
          <w:szCs w:val="20"/>
        </w:rPr>
        <w:t xml:space="preserve"> nos termos da Lei 13.019/2014, </w:t>
      </w:r>
      <w:r w:rsidR="00BD2CB5" w:rsidRPr="00BD2CB5">
        <w:rPr>
          <w:sz w:val="20"/>
          <w:szCs w:val="20"/>
        </w:rPr>
        <w:t>com intuito de melhorar cada vez mais os serviços de segurança prestados pela Brigada Militar à sociedade, os quais são indispensáveis</w:t>
      </w:r>
      <w:r w:rsidRPr="00BD2CB5">
        <w:rPr>
          <w:sz w:val="20"/>
          <w:szCs w:val="20"/>
        </w:rPr>
        <w:t>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O Município de </w:t>
      </w:r>
      <w:r>
        <w:rPr>
          <w:color w:val="000000" w:themeColor="text1"/>
        </w:rPr>
        <w:t>São João da Urtiga</w:t>
      </w:r>
      <w:r w:rsidRPr="00534CF7">
        <w:rPr>
          <w:color w:val="000000" w:themeColor="text1"/>
        </w:rPr>
        <w:t xml:space="preserve">, inscrito no CNPJ sob o nº </w:t>
      </w:r>
      <w:r>
        <w:rPr>
          <w:color w:val="000000" w:themeColor="text1"/>
        </w:rPr>
        <w:t>90.483.082/0001-65</w:t>
      </w:r>
      <w:r w:rsidRPr="00534CF7">
        <w:rPr>
          <w:color w:val="000000" w:themeColor="text1"/>
        </w:rPr>
        <w:t xml:space="preserve">, com sede Administrativa </w:t>
      </w:r>
      <w:r>
        <w:rPr>
          <w:color w:val="000000" w:themeColor="text1"/>
        </w:rPr>
        <w:t>na Avenida Professor Zeferino, nº 991</w:t>
      </w:r>
      <w:r w:rsidRPr="00534CF7">
        <w:rPr>
          <w:color w:val="000000" w:themeColor="text1"/>
        </w:rPr>
        <w:t xml:space="preserve">, neste Município, Estado do Rio Grande do SUL – RS, neste ato devidamente representada pelo Prefeito Municipal Sr. </w:t>
      </w:r>
      <w:r>
        <w:rPr>
          <w:color w:val="000000" w:themeColor="text1"/>
        </w:rPr>
        <w:t>Armando Dupont</w:t>
      </w:r>
      <w:r w:rsidRPr="00534CF7">
        <w:rPr>
          <w:color w:val="000000" w:themeColor="text1"/>
        </w:rPr>
        <w:t xml:space="preserve">, brasileiro, casado, RG nº </w:t>
      </w:r>
      <w:r>
        <w:rPr>
          <w:color w:val="000000" w:themeColor="text1"/>
        </w:rPr>
        <w:t>1010151403</w:t>
      </w:r>
      <w:r w:rsidRPr="00534CF7">
        <w:rPr>
          <w:color w:val="000000" w:themeColor="text1"/>
        </w:rPr>
        <w:t xml:space="preserve"> – expedida pela SSP-RS, CPF nº </w:t>
      </w:r>
      <w:r>
        <w:rPr>
          <w:color w:val="000000" w:themeColor="text1"/>
        </w:rPr>
        <w:t xml:space="preserve">328.098.830-68, </w:t>
      </w:r>
      <w:r w:rsidRPr="00534CF7">
        <w:rPr>
          <w:color w:val="000000" w:themeColor="text1"/>
        </w:rPr>
        <w:t xml:space="preserve">residente e domiciliado neste Município, no exercício de suas atribuições legais e regulamentares, doravante denominado Administração Pública e a Organização da Sociedade </w:t>
      </w:r>
      <w:r w:rsidRPr="00FC345E">
        <w:t xml:space="preserve">Civil Conselho Comunitário Pro-Segurança Pública de São João da Urtiga, inscrita no CNPJ sob </w:t>
      </w:r>
      <w:r w:rsidRPr="001E09F0">
        <w:t xml:space="preserve">nº 30.802.519/0001-54, doravante denominada OSC, neste </w:t>
      </w:r>
      <w:proofErr w:type="gramStart"/>
      <w:r w:rsidRPr="001E09F0">
        <w:t>ato representada</w:t>
      </w:r>
      <w:proofErr w:type="gramEnd"/>
      <w:r w:rsidRPr="001E09F0">
        <w:t xml:space="preserve"> pelo presidente Gilmar </w:t>
      </w:r>
      <w:proofErr w:type="spellStart"/>
      <w:r w:rsidRPr="001E09F0">
        <w:t>Cadore</w:t>
      </w:r>
      <w:proofErr w:type="spellEnd"/>
      <w:r w:rsidRPr="001E09F0">
        <w:t xml:space="preserve">, inscrito no CPF 303.782.220-15, portador do RG nº 2009056454, com fundamento na Lei Federal nº 13.019/2014, e no Decreto Municipal nº 1.957/2017, doravante denominada OSC, com fundamento na Lei </w:t>
      </w:r>
      <w:r w:rsidRPr="00534CF7">
        <w:rPr>
          <w:color w:val="000000" w:themeColor="text1"/>
        </w:rPr>
        <w:t>Federal nº 13.019/2014, bem como nos princípios que regem a Administração Pública e demais normas pertinentes, celebram este Termo de Colaboração, na forma e condições estabelecidas nas seguintes cláusulas: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numPr>
          <w:ilvl w:val="0"/>
          <w:numId w:val="1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DO OBJETO</w:t>
      </w:r>
    </w:p>
    <w:p w:rsidR="00DB2114" w:rsidRPr="00BD2CB5" w:rsidRDefault="00DB2114" w:rsidP="00DB2114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O presente Termo de </w:t>
      </w:r>
      <w:r w:rsidRPr="00BD2CB5">
        <w:rPr>
          <w:color w:val="000000" w:themeColor="text1"/>
        </w:rPr>
        <w:t xml:space="preserve">Fomento tem por objeto </w:t>
      </w:r>
      <w:r w:rsidR="00BD2CB5" w:rsidRPr="00BD2CB5">
        <w:t>melhorar cada vez mais os serviços de segurança prestados pela Brigada Militar à sociedade, os quais são indispensáveis</w:t>
      </w:r>
      <w:r w:rsidRPr="00BD2CB5">
        <w:rPr>
          <w:color w:val="000000" w:themeColor="text1"/>
        </w:rPr>
        <w:t>. </w:t>
      </w:r>
    </w:p>
    <w:p w:rsidR="00DB2114" w:rsidRPr="00534CF7" w:rsidRDefault="00DB2114" w:rsidP="00DB2114">
      <w:pPr>
        <w:numPr>
          <w:ilvl w:val="0"/>
          <w:numId w:val="2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TRANSFERÊNCIA FINANCEIRA</w:t>
      </w:r>
    </w:p>
    <w:p w:rsidR="00DB2114" w:rsidRPr="00A9140F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9140F">
        <w:t>2.1. A Administração Pública repassará a OSC o valor mensal de R$ 1.540,33 (um mil quinhentos e quarenta reais com trinta e três centavos) sendo transferido mensalmente até o décimo dia útil de cada mês.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9140F">
        <w:t>2.2. O repasse correrá por conta da seguinte dotação orçamentária:</w:t>
      </w:r>
    </w:p>
    <w:p w:rsidR="00101B7E" w:rsidRDefault="00101B7E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01B7E" w:rsidRDefault="00101B7E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01B7E" w:rsidRDefault="00101B7E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01B7E" w:rsidRPr="00A9140F" w:rsidRDefault="00101B7E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2114" w:rsidRPr="00E9072C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DB2114" w:rsidRDefault="00DB2114" w:rsidP="00DB2114"/>
    <w:p w:rsidR="00101B7E" w:rsidRDefault="00101B7E" w:rsidP="00DB2114"/>
    <w:p w:rsidR="00101B7E" w:rsidRDefault="00101B7E" w:rsidP="00DB2114"/>
    <w:p w:rsidR="00101B7E" w:rsidRDefault="00101B7E" w:rsidP="00DB2114"/>
    <w:p w:rsidR="00101B7E" w:rsidRDefault="00101B7E" w:rsidP="00DB2114"/>
    <w:p w:rsidR="00BD2CB5" w:rsidRDefault="00BD2CB5" w:rsidP="00DB2114"/>
    <w:p w:rsidR="00BD2CB5" w:rsidRDefault="00BD2CB5" w:rsidP="00DB2114"/>
    <w:p w:rsidR="00101B7E" w:rsidRDefault="00101B7E" w:rsidP="00DB2114"/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499"/>
        <w:gridCol w:w="5194"/>
      </w:tblGrid>
      <w:tr w:rsidR="00101B7E" w:rsidRPr="00442F73" w:rsidTr="00C52775">
        <w:trPr>
          <w:trHeight w:val="12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ORGÃO: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 </w:t>
            </w:r>
            <w:proofErr w:type="gramStart"/>
            <w:r w:rsidRPr="00442F73">
              <w:t>03 – Secretaria</w:t>
            </w:r>
            <w:proofErr w:type="gramEnd"/>
            <w:r w:rsidRPr="00442F73">
              <w:t xml:space="preserve"> Municipal da Administração</w:t>
            </w:r>
          </w:p>
        </w:tc>
      </w:tr>
      <w:tr w:rsidR="00101B7E" w:rsidRPr="00442F73" w:rsidTr="00C52775">
        <w:trPr>
          <w:trHeight w:val="137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UNIDADE: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 </w:t>
            </w:r>
            <w:proofErr w:type="gramStart"/>
            <w:r w:rsidRPr="00442F73">
              <w:t>03.01 – Secretaria</w:t>
            </w:r>
            <w:proofErr w:type="gramEnd"/>
            <w:r w:rsidRPr="00442F73">
              <w:t xml:space="preserve"> Municipal da Administração</w:t>
            </w:r>
          </w:p>
        </w:tc>
      </w:tr>
      <w:tr w:rsidR="00101B7E" w:rsidRPr="00442F73" w:rsidTr="00C52775">
        <w:trPr>
          <w:trHeight w:val="215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ATIV/PROJ:</w:t>
            </w:r>
          </w:p>
        </w:tc>
        <w:tc>
          <w:tcPr>
            <w:tcW w:w="6731" w:type="dxa"/>
            <w:gridSpan w:val="2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 2.053 – Manutenção das Atividades da Secretária da Administração. </w:t>
            </w:r>
          </w:p>
        </w:tc>
      </w:tr>
      <w:tr w:rsidR="00101B7E" w:rsidRPr="00442F73" w:rsidTr="00C52775">
        <w:trPr>
          <w:trHeight w:val="659"/>
          <w:jc w:val="center"/>
        </w:trPr>
        <w:tc>
          <w:tcPr>
            <w:tcW w:w="1511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RUBRICA:</w:t>
            </w:r>
          </w:p>
        </w:tc>
        <w:tc>
          <w:tcPr>
            <w:tcW w:w="15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 335043</w:t>
            </w:r>
          </w:p>
        </w:tc>
        <w:tc>
          <w:tcPr>
            <w:tcW w:w="5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01B7E" w:rsidRPr="00442F73" w:rsidRDefault="00101B7E" w:rsidP="00C52775">
            <w:pPr>
              <w:jc w:val="both"/>
            </w:pPr>
            <w:r w:rsidRPr="00442F73">
              <w:t> </w:t>
            </w:r>
          </w:p>
          <w:p w:rsidR="00101B7E" w:rsidRPr="00442F73" w:rsidRDefault="00101B7E" w:rsidP="00C52775">
            <w:pPr>
              <w:jc w:val="both"/>
            </w:pPr>
            <w:r w:rsidRPr="00442F73">
              <w:t>Subvenções Sociais (679)</w:t>
            </w:r>
          </w:p>
        </w:tc>
      </w:tr>
    </w:tbl>
    <w:p w:rsidR="00101B7E" w:rsidRDefault="00101B7E" w:rsidP="00DB2114"/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2.3. Em caso de celebração de aditivos, deverão ser indicados nos mesmos, os créditos e empenhos para cobertura de cada parcela da despesa a ser transferida.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2.4. Na ocorrência de cancelamento de Restos a Pagar, o quantitativo poderá ser reduzido até a etapa que apresente funcionalidade, mediante aprovação prévia da Administração Pública.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 </w:t>
      </w:r>
    </w:p>
    <w:p w:rsidR="00DB2114" w:rsidRPr="00534CF7" w:rsidRDefault="00DB2114" w:rsidP="00DB2114">
      <w:pPr>
        <w:numPr>
          <w:ilvl w:val="0"/>
          <w:numId w:val="3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DAS OBRIGAÇÕES DAS PARTES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3.1. Compete à Administração Pública: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 – Transferir os recursos à OSC de acordo com o </w:t>
      </w:r>
      <w:r>
        <w:rPr>
          <w:color w:val="000000" w:themeColor="text1"/>
        </w:rPr>
        <w:t xml:space="preserve">Item </w:t>
      </w: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e o </w:t>
      </w:r>
      <w:r w:rsidRPr="00534CF7">
        <w:rPr>
          <w:color w:val="000000" w:themeColor="text1"/>
        </w:rPr>
        <w:t xml:space="preserve">Cronograma de Desembolso, em anexo, que faz parte integrante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e no valor nele fixado;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II – Fiscalizar a execução do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, o que não fará cessar ou diminuir a responsabilidade da OSC pelo perfeito cumprimento das obrigações estipuladas, nem por quais danos, inclusive quanto a terceiros, ou por irregularidades constatadas;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III – Comunicar formalmente à OSC qualquer irregularidade encontrada na execução das ações, fixando-lhe, quando não pactuado nesse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prazo para correção;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Receber, apurar e solucionar eventuais queixas e reclamações, cientificando a OSC para as devidas regularizações;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 –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 – Aplicar as penalidades regulamentadas neste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VII – Apreciar a prestação de contas final apresentada, no prazo de até cento e cinquenta dias, contado da data de seu recebimento ou do cumprimento de diligência por ela determinada, prorrogável justificadamente por igual período; </w:t>
      </w:r>
      <w:proofErr w:type="gramStart"/>
      <w:r w:rsidRPr="00534CF7">
        <w:rPr>
          <w:color w:val="000000" w:themeColor="text1"/>
        </w:rPr>
        <w:t>e</w:t>
      </w:r>
      <w:proofErr w:type="gramEnd"/>
    </w:p>
    <w:p w:rsidR="00F2239D" w:rsidRDefault="00F2239D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BD2CB5" w:rsidRDefault="00BD2CB5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239D" w:rsidRDefault="00F2239D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239D" w:rsidRDefault="00F2239D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239D" w:rsidRDefault="00F2239D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239D" w:rsidRDefault="00F2239D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239D" w:rsidRDefault="00F2239D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VIII – Publicar, às suas expensas, o extrato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na imprensa oficial do Município.</w:t>
      </w:r>
    </w:p>
    <w:p w:rsidR="00DB2114" w:rsidRPr="00534CF7" w:rsidRDefault="00DB2114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F2239D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3.2. Compete à OSC:</w:t>
      </w:r>
    </w:p>
    <w:p w:rsidR="00DB2114" w:rsidRPr="00740BF9" w:rsidRDefault="00DB2114" w:rsidP="00F2239D">
      <w:pPr>
        <w:pStyle w:val="NormalWeb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 xml:space="preserve">I – Utilizar os valores recebidos de acordo com o Plano de Trabalho aprovado pela </w:t>
      </w:r>
      <w:r w:rsidRPr="00740BF9">
        <w:t>Administração Pública, observadas as disposições deste Termo de Fomento relativas à aplicação dos recursos;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BF9">
        <w:t xml:space="preserve">II – Responder exclusivamente pelo pagamento dos encargos trabalhistas, previdenciários, fiscais e comerciais relativos ao funcionamento da instituição e ao adimplemento deste Termo de Fomento, não se caracterizando responsabilidade solidária ou subsidiária </w:t>
      </w:r>
      <w:r w:rsidRPr="00534CF7">
        <w:rPr>
          <w:color w:val="000000" w:themeColor="text1"/>
        </w:rPr>
        <w:t>da Administração Pública pelos respectivos pagamentos, nem qualquer oneração do objeto da parceria ou restrição à sua execução;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Prestar contas dos recursos recebidos nos termos da Lei Federal nº 13.019/2014, nos prazos estabelecidos neste instrumento;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Indicar ao menos 01 (um) dirigente que se responsabilizará, de forma solidária, pela execução das atividades e cumprimento das metas pactuadas na parceria;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 – Executar as ações objeto desta parceria com qualidade, atendendo o público de modo gratuito, universal e igualitário;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VI –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VII – Responder, com exclusividade, pela capacidade e orientações técnicas de toda a mão de obra necessária à fiel e perfeita execução desse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VIII – Manter contrato de trabalho que assegure direitos trabalhistas, sociais e previdenciários aos seus trabalhadores e prestadores de serviços;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IX – Responsabilizar-se, com os recursos provenientes do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, pela indenização de dano causado ao público, decorrentes de ação ou omissão voluntária, ou de negligência, imperícia ou imprudência, </w:t>
      </w:r>
      <w:proofErr w:type="gramStart"/>
      <w:r w:rsidRPr="00534CF7">
        <w:rPr>
          <w:color w:val="000000" w:themeColor="text1"/>
        </w:rPr>
        <w:t>praticados por seus empregados</w:t>
      </w:r>
      <w:proofErr w:type="gramEnd"/>
      <w:r w:rsidRPr="00534CF7">
        <w:rPr>
          <w:color w:val="000000" w:themeColor="text1"/>
        </w:rPr>
        <w:t>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X – Responsabilizar-se por cobrança indevida feita ao público, por profissional empregado ou preposto, em razão da execução desse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XI – Responsabilizar pelo espaço físico, equipamentos e mobiliários necessários ao desenvolvimento das ações objeto desta parceria;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XII – Disponibilizar documentos dos profissionais que compõe a equipe técnica, tais como: diplomas dos profissionais, registro junto aos respectivos conselhos e contrato de trabalho;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XIII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, bem como aos locais de execução do objeto;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XIV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e aplicadas, exclusivamente, no objeto de sua finalidade, devendo constar de demonstrativo específico que integrará as prestações de contas; </w:t>
      </w:r>
      <w:proofErr w:type="gramStart"/>
      <w:r w:rsidRPr="00534CF7">
        <w:rPr>
          <w:color w:val="000000" w:themeColor="text1"/>
        </w:rPr>
        <w:t>e</w:t>
      </w:r>
      <w:proofErr w:type="gramEnd"/>
    </w:p>
    <w:p w:rsidR="00740BF9" w:rsidRDefault="00DB2114" w:rsidP="00740BF9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lastRenderedPageBreak/>
        <w:t> </w:t>
      </w:r>
    </w:p>
    <w:p w:rsidR="00740BF9" w:rsidRDefault="00740BF9" w:rsidP="00740BF9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40BF9" w:rsidRDefault="00740BF9" w:rsidP="00740BF9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40BF9" w:rsidRDefault="00740BF9" w:rsidP="00740BF9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40BF9" w:rsidRDefault="00740BF9" w:rsidP="00740BF9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740BF9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BF9">
        <w:rPr>
          <w:color w:val="000000" w:themeColor="text1"/>
        </w:rPr>
        <w:t>XV – Restituir à Administração Pública os recursos recebidos quando a prestação de contas for avaliada como irregular, depois de exaurida a fase recursal, se mantida a decisão, caso</w:t>
      </w:r>
      <w:r w:rsidRPr="00740BF9">
        <w:rPr>
          <w:color w:val="000000" w:themeColor="text1"/>
          <w:shd w:val="clear" w:color="auto" w:fill="FFFFFF" w:themeFill="background1"/>
        </w:rPr>
        <w:t xml:space="preserve"> em que a OSC poderá solicitar autorização para que o ressarcimento ao erário seja promovido por meio de ações compensatórias de interesse público, mediante </w:t>
      </w:r>
      <w:proofErr w:type="gramStart"/>
      <w:r w:rsidRPr="00740BF9">
        <w:rPr>
          <w:color w:val="000000" w:themeColor="text1"/>
          <w:shd w:val="clear" w:color="auto" w:fill="FFFFFF" w:themeFill="background1"/>
        </w:rPr>
        <w:t>a apresentação de novo plano de trabalho</w:t>
      </w:r>
      <w:proofErr w:type="gramEnd"/>
      <w:r w:rsidRPr="00740BF9">
        <w:rPr>
          <w:color w:val="000000" w:themeColor="text1"/>
          <w:shd w:val="clear" w:color="auto" w:fill="FFFFFF" w:themeFill="background1"/>
        </w:rPr>
        <w:t>, conforme o objeto descrito no neste Termo de Termo de Fomento e a área de atuação da organização, cuja mensuração econômica será feita a partir do plano de trabalho original, desde que não</w:t>
      </w:r>
      <w:r w:rsidRPr="00534CF7">
        <w:rPr>
          <w:color w:val="000000" w:themeColor="text1"/>
        </w:rPr>
        <w:t xml:space="preserve"> tenha havido dolo ou fraude e não seja o caso de restituição integral dos recursos;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XVI– a responsabilidade exclusiva pelo gerenciamento administrativo e financeiro dos recursos recebidos, inclusive no que diz respeito às despesas de custeio, de investimento e de pessoal.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   </w:t>
      </w:r>
    </w:p>
    <w:p w:rsidR="00DB2114" w:rsidRPr="00534CF7" w:rsidRDefault="00DB2114" w:rsidP="00DB2114">
      <w:pPr>
        <w:numPr>
          <w:ilvl w:val="0"/>
          <w:numId w:val="4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APLICAÇÃO DOS RECURSOS</w:t>
      </w:r>
    </w:p>
    <w:p w:rsidR="00DB2114" w:rsidRPr="00114828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4CF7">
        <w:rPr>
          <w:color w:val="000000" w:themeColor="text1"/>
        </w:rPr>
        <w:t>4</w:t>
      </w:r>
      <w:r w:rsidRPr="00114828">
        <w:t>.1. O Plano de Trabalho deverá ser executado com estrita observância das cláusulas pactuadas neste Termo de Fomento, sendo vedado:</w:t>
      </w:r>
    </w:p>
    <w:p w:rsidR="00DB2114" w:rsidRPr="00114828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14828">
        <w:t>I – pagar, a qualquer título, servidor ou empregado público com recursos vinculados à parceria;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14828">
        <w:t xml:space="preserve">II – modificar </w:t>
      </w:r>
      <w:r w:rsidRPr="00534CF7">
        <w:rPr>
          <w:color w:val="000000" w:themeColor="text1"/>
        </w:rPr>
        <w:t>o objeto, exceto no caso de ampliação de metas, desde que seja previamente aprovada a adequação do plano de trabalho pela Administração Pública;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utilizar, ainda que em caráter emergencial, recursos para finalidade diversa da estabelecida no plano de trabalho;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pagar despesa realizada em data anterior à vigência da parceria;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 – efetuar pagamento em data posterior à vigência da parceria, salvo quando o fato gerador da despesa tiver ocorrido durante sua vigência;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VI – realizar despesas com:</w:t>
      </w:r>
    </w:p>
    <w:p w:rsidR="00DB2114" w:rsidRPr="00534CF7" w:rsidRDefault="00114828" w:rsidP="001148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DB2114" w:rsidRPr="00534CF7">
        <w:rPr>
          <w:color w:val="000000" w:themeColor="text1"/>
        </w:rPr>
        <w:t xml:space="preserve">multas, juros ou correção </w:t>
      </w:r>
      <w:proofErr w:type="gramStart"/>
      <w:r w:rsidR="00DB2114" w:rsidRPr="00534CF7">
        <w:rPr>
          <w:color w:val="000000" w:themeColor="text1"/>
        </w:rPr>
        <w:t>monetária, inclusive referentes a pagamentos ou a recolhimentos fora dos prazos</w:t>
      </w:r>
      <w:proofErr w:type="gramEnd"/>
      <w:r w:rsidR="00DB2114" w:rsidRPr="00534CF7">
        <w:rPr>
          <w:color w:val="000000" w:themeColor="text1"/>
        </w:rPr>
        <w:t>, salvo se decorrentes de atrasos da Administração Pública na liberação de recursos financeiros;</w:t>
      </w:r>
    </w:p>
    <w:p w:rsidR="00DB2114" w:rsidRPr="00534CF7" w:rsidRDefault="00DB2114" w:rsidP="00114828">
      <w:pPr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b)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534CF7">
        <w:rPr>
          <w:color w:val="000000" w:themeColor="text1"/>
        </w:rPr>
        <w:t>e</w:t>
      </w:r>
      <w:proofErr w:type="gramEnd"/>
    </w:p>
    <w:p w:rsidR="00DB2114" w:rsidRPr="00534CF7" w:rsidRDefault="00DB2114" w:rsidP="00114828">
      <w:pPr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c) pagamento de pessoal contratado pela OSC que não atendam às exigências do art. 46 da Lei Federal nº 13.019/2014.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4.2. Os recursos recebidos em decorrência da parceria deverão ser depositados em conta corrente específica na instituição financeira pública determinada pela Administração Pública.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4.3. Os rendimentos de ativos financeiros serão aplicados no objeto da parceria, estando sujeitos às mesmas condições de prestação de contas exigidas para os recursos transferidos.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4.4. Por ocasião da conclusão, denúncia, rescisão ou extinção da parceria, os saldos financeiros remanescentes, inclusive os provenientes das receitas obtidas das aplicações financeiras realizadas, serão devolvidos à Administração Pública no prazo improrrogável de 30 (trinta) dias, </w:t>
      </w:r>
      <w:proofErr w:type="gramStart"/>
      <w:r w:rsidRPr="00534CF7">
        <w:rPr>
          <w:color w:val="000000" w:themeColor="text1"/>
        </w:rPr>
        <w:t>sob pena</w:t>
      </w:r>
      <w:proofErr w:type="gramEnd"/>
      <w:r w:rsidRPr="00534CF7">
        <w:rPr>
          <w:color w:val="000000" w:themeColor="text1"/>
        </w:rPr>
        <w:t xml:space="preserve"> de imediata instauração de tomada de contas especial do responsável, providenciada pela autoridade competente da Administração Pública.</w:t>
      </w:r>
    </w:p>
    <w:p w:rsidR="00114828" w:rsidRDefault="00114828" w:rsidP="00114828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14828" w:rsidRDefault="00114828" w:rsidP="00114828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14828" w:rsidRDefault="00114828" w:rsidP="00114828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14828" w:rsidRDefault="00114828" w:rsidP="00114828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14828" w:rsidRDefault="00114828" w:rsidP="00114828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DB2114">
      <w:pPr>
        <w:numPr>
          <w:ilvl w:val="0"/>
          <w:numId w:val="5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PRESTAÇÃO DE CONTAS</w:t>
      </w:r>
    </w:p>
    <w:p w:rsidR="002D17FE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5.1. A prestação de contas deverá </w:t>
      </w:r>
      <w:r>
        <w:rPr>
          <w:color w:val="000000" w:themeColor="text1"/>
        </w:rPr>
        <w:t xml:space="preserve">ser efetuada </w:t>
      </w:r>
      <w:r w:rsidR="002D17FE">
        <w:rPr>
          <w:color w:val="000000" w:themeColor="text1"/>
        </w:rPr>
        <w:t>mensalmente, até o último dia útil do mês em que a OSC receber os valores.</w:t>
      </w:r>
    </w:p>
    <w:p w:rsidR="00DB2114" w:rsidRPr="00BD2CB5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D2CB5">
        <w:t>5.2. A prestação de contas deverá ser apresentada com os seguintes relatórios:</w:t>
      </w:r>
    </w:p>
    <w:p w:rsidR="00DB2114" w:rsidRPr="00F5526C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5526C">
        <w:t>I – Relatório de Execução Financeira, assinado pelo seu representante legal, com a descrição das despesas e receitas efetivamente realizadas;</w:t>
      </w:r>
    </w:p>
    <w:p w:rsidR="00DB2114" w:rsidRPr="00F5526C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5526C">
        <w:t xml:space="preserve">II – Original ou copias reprográficas dos comprovantes da despesa </w:t>
      </w:r>
      <w:r w:rsidRPr="00F5526C">
        <w:rPr>
          <w:u w:val="single"/>
        </w:rPr>
        <w:t>devidamente autenticadas em cartório ou por servidor da administração</w:t>
      </w:r>
      <w:r w:rsidRPr="00F5526C">
        <w:t>, devendo ser devolvidos os originais após autenticação das cópias;</w:t>
      </w:r>
    </w:p>
    <w:p w:rsidR="00DB2114" w:rsidRPr="00A905B5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905B5">
        <w:t>I</w:t>
      </w:r>
      <w:r w:rsidR="00784A3C">
        <w:t>II</w:t>
      </w:r>
      <w:r w:rsidRPr="00A905B5">
        <w:t xml:space="preserve"> – Extrato bancário de conta específica e/ou de aplicação financeira, no qual deverá estar evidenciado o ingresso e a saída dos recursos, devidamente acompanhado da Conciliação Bancária, quando for o caso;</w:t>
      </w:r>
    </w:p>
    <w:p w:rsidR="00DB2114" w:rsidRPr="00A905B5" w:rsidRDefault="00784A3C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I</w:t>
      </w:r>
      <w:r w:rsidR="00DB2114" w:rsidRPr="00A905B5">
        <w:t xml:space="preserve">V – Demonstrativo de Execução de Receita e Despesa, </w:t>
      </w:r>
      <w:proofErr w:type="gramStart"/>
      <w:r w:rsidR="00DB2114" w:rsidRPr="00A905B5">
        <w:t>devidamente acompanhado dos comprovantes das despesas realizadas</w:t>
      </w:r>
      <w:proofErr w:type="gramEnd"/>
      <w:r w:rsidR="00DB2114" w:rsidRPr="00A905B5">
        <w:t xml:space="preserve"> e assinado pelo </w:t>
      </w:r>
      <w:r w:rsidR="00A905B5" w:rsidRPr="00A905B5">
        <w:t xml:space="preserve">representante legal </w:t>
      </w:r>
      <w:r w:rsidR="00DB2114" w:rsidRPr="00A905B5">
        <w:t>da OSC;</w:t>
      </w:r>
    </w:p>
    <w:p w:rsidR="00DB2114" w:rsidRPr="00A905B5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905B5">
        <w:t>V – Comprovante, quando houver, de devolução de saldo remanescente em até 10 (dez) dias após o término da vigência deste Termo de Fomento;</w:t>
      </w:r>
    </w:p>
    <w:p w:rsidR="00DB2114" w:rsidRPr="00B50DA5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905B5">
        <w:t xml:space="preserve">VI – Relatório </w:t>
      </w:r>
      <w:r w:rsidRPr="00B50DA5">
        <w:t xml:space="preserve">circunstanciado das atividades desenvolvidas pela OSC no </w:t>
      </w:r>
      <w:r w:rsidR="00A905B5" w:rsidRPr="00B50DA5">
        <w:t>e</w:t>
      </w:r>
      <w:r w:rsidRPr="00B50DA5">
        <w:t>xercício.</w:t>
      </w:r>
    </w:p>
    <w:p w:rsidR="00DB2114" w:rsidRPr="00B50DA5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50DA5">
        <w:t>5.3. No caso de prestação de contas parcial, os relatórios exigidos e o</w:t>
      </w:r>
      <w:r w:rsidR="00B50DA5" w:rsidRPr="00B50DA5">
        <w:t>s documentos referidos no item 5</w:t>
      </w:r>
      <w:r w:rsidRPr="00B50DA5">
        <w:t>.</w:t>
      </w:r>
      <w:r w:rsidR="00B50DA5" w:rsidRPr="00B50DA5">
        <w:t>2</w:t>
      </w:r>
      <w:r w:rsidRPr="00B50DA5">
        <w:t xml:space="preserve"> deverão ser apresentados, exceto o relacionado no item V.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numPr>
          <w:ilvl w:val="0"/>
          <w:numId w:val="6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DO PRAZO DE VIGÊNCIA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6.1. </w:t>
      </w:r>
      <w:r w:rsidR="007F750A" w:rsidRPr="00534CF7">
        <w:rPr>
          <w:color w:val="000000" w:themeColor="text1"/>
        </w:rPr>
        <w:t xml:space="preserve">O presente Termo de Colaboração vigorará </w:t>
      </w:r>
      <w:r w:rsidR="007F750A">
        <w:rPr>
          <w:color w:val="000000" w:themeColor="text1"/>
        </w:rPr>
        <w:t xml:space="preserve">por um ano </w:t>
      </w:r>
      <w:r w:rsidR="007F750A" w:rsidRPr="00534CF7">
        <w:rPr>
          <w:color w:val="000000" w:themeColor="text1"/>
        </w:rPr>
        <w:t>a partir da data de sua assinatura, podendo ser prorrogado mediante solicitação da organização da sociedade civil, devidamente formalizada e justificada, a ser apresentada à Administração Pública em, no mínimo, trinta dias antes do termo inicialmente previsto</w:t>
      </w:r>
      <w:r>
        <w:rPr>
          <w:color w:val="000000" w:themeColor="text1"/>
        </w:rPr>
        <w:t>.</w:t>
      </w:r>
    </w:p>
    <w:p w:rsidR="00DB2114" w:rsidRPr="00534CF7" w:rsidRDefault="007F750A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6.2. A prorrogação de ofício da vigência deste Termo de Colaboração será feita pela Administração Pública quando ela der causa a atraso na liberação de recursos financeiros, limitada ao exato período do atraso verificado</w:t>
      </w:r>
      <w:r w:rsidR="00DB2114" w:rsidRPr="00534CF7">
        <w:rPr>
          <w:color w:val="000000" w:themeColor="text1"/>
        </w:rPr>
        <w:t>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numPr>
          <w:ilvl w:val="0"/>
          <w:numId w:val="7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DAS ALTERAÇÕES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7.1.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7.2. O plano de trabalho da parceria poderá ser revisto para alteração de valores ou de metas, mediante termo aditivo ao plano de trabalho original.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 </w:t>
      </w:r>
    </w:p>
    <w:p w:rsidR="00DB2114" w:rsidRPr="00534CF7" w:rsidRDefault="00DB2114" w:rsidP="00DB2114">
      <w:pPr>
        <w:numPr>
          <w:ilvl w:val="0"/>
          <w:numId w:val="8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 xml:space="preserve">DO ACOMPANHAMENTO, CONTROLE E </w:t>
      </w:r>
      <w:proofErr w:type="gramStart"/>
      <w:r w:rsidRPr="00534CF7">
        <w:rPr>
          <w:rStyle w:val="Forte"/>
          <w:color w:val="000000" w:themeColor="text1"/>
          <w:bdr w:val="none" w:sz="0" w:space="0" w:color="auto" w:frame="1"/>
        </w:rPr>
        <w:t>FISCALIZAÇÃO</w:t>
      </w:r>
      <w:proofErr w:type="gramEnd"/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8.1. A Administração Pública promoverá o monitoramento e a avaliação do cumprimento do objeto da parceria, podendo valer-se do apoio técnico de terceiros, delegar competência ou firmar parcerias com órgãos ou entidades públicas.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8.2. A Administração Pública acompanhará a execução do objeto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através de seu gestor, que tem por obrigações: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Acompanhar e fiscalizar a execução da parceria;</w:t>
      </w: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 –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Emitir parecer conclusivo de análise da prestação de contas mensal e final, com base no relatório técnico de monitoramento e avaliação de que trata o art. 59 da Lei Federal nº 13.019/2014;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IV – Disponibilizar materiais e equipamentos tecnológicos necessários às atividades de monitoramento e avaliação.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8.3. A execução também será acompanhada por Comissão de Monitoramento e Avaliação, especialmente designada.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8.4. A Administração Pública emitirá relatório técnico de monitoramento e avaliação da parceria e o submeterá à Comissão de Monitoramento e Avaliação designada, que o homologará, independentemente da obrigatoriedade de apresentação da prestação de contas pela OSC.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8.5. O relatório técnico de monitoramento e avaliação da parceria, sem prejuízo de outros elementos, conterá: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descrição sumária das atividades e metas estabelecidas;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 – análise das atividades realizadas, do cumprimento das metas e do impacto do benefício social obtido em razão da execução do objeto até o período, com base nos indicadores estabelecidos e aprovados no plano de trabalho;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 valores efetivamente transferidos pela Administração Pública;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IV – análise dos documentos comprobatórios das despesas apresentados pela OSC na prestação de contas, quando não for comprovado o alcance das metas e resultados estabelecidos neste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VI – análise de eventuais auditorias realizadas pelos controles </w:t>
      </w:r>
      <w:proofErr w:type="gramStart"/>
      <w:r w:rsidRPr="00534CF7">
        <w:rPr>
          <w:color w:val="000000" w:themeColor="text1"/>
        </w:rPr>
        <w:t>interno</w:t>
      </w:r>
      <w:proofErr w:type="gramEnd"/>
      <w:r w:rsidRPr="00534CF7">
        <w:rPr>
          <w:color w:val="000000" w:themeColor="text1"/>
        </w:rPr>
        <w:t xml:space="preserve"> e externo, no âmbito da fiscalização preventiva, bem como de suas conclusões e das medidas que tomaram em decorrência dessas auditorias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8.6. No exercício de suas atribuições o gestor e os integrantes da Comissão de Monitoramento e Avaliação poderão realizar visita in loco, da qual será emitido relatório.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8.7. Sem prejuízo da fiscalização pela Administração Pública e pelos órgãos de controle, a execução da parceria será acompanhada e fiscalizada pelo conselho de política pública correspondente.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8.8. 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numPr>
          <w:ilvl w:val="0"/>
          <w:numId w:val="9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RESCISÃO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9.1. É facultado aos parceiros rescindir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, devendo comunicar essa intenção no prazo mínimo de 60 (sessenta) dias de antecedência, sendo-lhes imputadas as responsabilidades das obrigações e creditados os benefícios no período em que este tenha vigido.</w:t>
      </w: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9.2. A Administração poderá rescindir unilateralmente 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quando da constatação das seguintes situações: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Utilização dos recursos em desacordo com o Plano de Trabalho aprovado;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II – Retardamento injustificado na realização da execução do objeto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III – Descumprimento de cláusula constante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numPr>
          <w:ilvl w:val="0"/>
          <w:numId w:val="10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DA RESPONSABILIZAÇÃO E DAS SANÇÕES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10.1. O presente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deverá ser executado fielmente pelos parceiros, de acordo com as cláusulas pactuadas e a legislação pertinente, respondendo cada um pelas consequências de sua inexecução total ou parcial.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10.2. Pela execução da parceria em desacordo com o plano de trabalho, a Administração </w:t>
      </w:r>
      <w:proofErr w:type="gramStart"/>
      <w:r w:rsidRPr="00534CF7">
        <w:rPr>
          <w:color w:val="000000" w:themeColor="text1"/>
        </w:rPr>
        <w:t>poderá,</w:t>
      </w:r>
      <w:proofErr w:type="gramEnd"/>
      <w:r w:rsidRPr="00534CF7">
        <w:rPr>
          <w:color w:val="000000" w:themeColor="text1"/>
        </w:rPr>
        <w:t xml:space="preserve"> garantida a prévia defesa, aplicar à OSC da sociedade civil as seguintes sanções: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 – advertência;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II- suspensão temporária da participação em chamamento público e impedimento de celebrar parceria ou contrato com órgãos e entidades da esfera de governo da administração pública sancionadora, por prazo não superior a dois anos;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III –</w:t>
      </w:r>
      <w:proofErr w:type="gramStart"/>
      <w:r w:rsidRPr="00534CF7">
        <w:rPr>
          <w:color w:val="000000" w:themeColor="text1"/>
        </w:rPr>
        <w:t xml:space="preserve">  </w:t>
      </w:r>
      <w:proofErr w:type="gramEnd"/>
      <w:r w:rsidRPr="00534CF7">
        <w:rPr>
          <w:color w:val="000000" w:themeColor="text1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10.3. 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10.4 – Prescreve em cinco anos, contados a partir da data da apresentação da prestação de contas, a aplicação de penalidade decorrente de infração relacionada à execução da parceria.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10.5 – A prescrição será interrompida com a edição de ato administrativo voltado à apuração da infração.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DB2114">
      <w:pPr>
        <w:numPr>
          <w:ilvl w:val="0"/>
          <w:numId w:val="11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DO FORO E DA SOLUÇÃO ADMINISTRATIVA DE CONFLITOS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11.1. O foro desta Comarca é o eleito pelos parceiros para dirimir quaisquer dúvidas oriundas do presente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>.</w:t>
      </w: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84A3C" w:rsidRDefault="00784A3C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11.2. Antes de promover a ação judicial competente, as partes, obrigatoriamente, farão tratativas para prévia tentativa de solução administrativa. Referidas tratativas serão realizadas em reunião, com a participação da Procuradoria/Assessoria do Município, da qual será lavrada ata, ou por meio de documentos expressos, sobre os quais se manifestará a Procuradoria/Assessoria do Município.</w:t>
      </w:r>
    </w:p>
    <w:p w:rsidR="00DB2114" w:rsidRPr="00534CF7" w:rsidRDefault="00DB2114" w:rsidP="00784A3C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 </w:t>
      </w:r>
    </w:p>
    <w:p w:rsidR="00DB2114" w:rsidRPr="00534CF7" w:rsidRDefault="00DB2114" w:rsidP="00DB2114">
      <w:pPr>
        <w:numPr>
          <w:ilvl w:val="0"/>
          <w:numId w:val="12"/>
        </w:numPr>
        <w:spacing w:line="390" w:lineRule="atLeast"/>
        <w:ind w:left="0"/>
        <w:jc w:val="both"/>
        <w:textAlignment w:val="baseline"/>
        <w:rPr>
          <w:color w:val="000000" w:themeColor="text1"/>
        </w:rPr>
      </w:pPr>
      <w:r w:rsidRPr="00534CF7">
        <w:rPr>
          <w:rStyle w:val="Forte"/>
          <w:color w:val="000000" w:themeColor="text1"/>
          <w:bdr w:val="none" w:sz="0" w:space="0" w:color="auto" w:frame="1"/>
        </w:rPr>
        <w:t>DISPOSIÇÕES GERAIS</w:t>
      </w: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12.1. Faz parte integrante e indissociável deste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 o plano de trabalho e aplicação </w:t>
      </w:r>
      <w:proofErr w:type="gramStart"/>
      <w:r w:rsidRPr="00534CF7">
        <w:rPr>
          <w:color w:val="000000" w:themeColor="text1"/>
        </w:rPr>
        <w:t>anexo</w:t>
      </w:r>
      <w:proofErr w:type="gramEnd"/>
      <w:r w:rsidRPr="00534CF7">
        <w:rPr>
          <w:color w:val="000000" w:themeColor="text1"/>
        </w:rPr>
        <w:t>.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 xml:space="preserve">E, por estarem acordes, firmam os parceiros o presente Termo de </w:t>
      </w:r>
      <w:r>
        <w:rPr>
          <w:color w:val="000000" w:themeColor="text1"/>
        </w:rPr>
        <w:t>Fomento</w:t>
      </w:r>
      <w:r w:rsidRPr="00534CF7">
        <w:rPr>
          <w:color w:val="000000" w:themeColor="text1"/>
        </w:rPr>
        <w:t xml:space="preserve">, em 02 (duas) </w:t>
      </w:r>
      <w:proofErr w:type="gramStart"/>
      <w:r w:rsidRPr="00534CF7">
        <w:rPr>
          <w:color w:val="000000" w:themeColor="text1"/>
        </w:rPr>
        <w:t>vias</w:t>
      </w:r>
      <w:proofErr w:type="gramEnd"/>
      <w:r w:rsidRPr="00534CF7">
        <w:rPr>
          <w:color w:val="000000" w:themeColor="text1"/>
        </w:rPr>
        <w:t xml:space="preserve"> de igual teor e forma, para todos os efeitos legais.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B2114" w:rsidRPr="00534CF7" w:rsidRDefault="00DB2114" w:rsidP="00DB21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Pr="00291E56" w:rsidRDefault="007F750A" w:rsidP="00DB211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color w:val="000000" w:themeColor="text1"/>
        </w:rPr>
        <w:t xml:space="preserve">São João da </w:t>
      </w:r>
      <w:r w:rsidRPr="00291E56">
        <w:t>Urtiga</w:t>
      </w:r>
      <w:r w:rsidR="00DB2114" w:rsidRPr="00291E56">
        <w:t xml:space="preserve">, </w:t>
      </w:r>
      <w:r w:rsidR="00291E56" w:rsidRPr="00291E56">
        <w:t>04</w:t>
      </w:r>
      <w:r w:rsidR="00DB2114" w:rsidRPr="00291E56">
        <w:t xml:space="preserve"> de </w:t>
      </w:r>
      <w:r w:rsidR="00291E56" w:rsidRPr="00291E56">
        <w:t>setembr</w:t>
      </w:r>
      <w:r w:rsidR="00DB2114" w:rsidRPr="00291E56">
        <w:t xml:space="preserve">o </w:t>
      </w:r>
      <w:r w:rsidRPr="00291E56">
        <w:t>de 2018</w:t>
      </w:r>
      <w:r w:rsidR="00DB2114" w:rsidRPr="00291E56">
        <w:t>.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Default="00E40D52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GLMAR CADORE</w:t>
      </w:r>
      <w:r w:rsidR="00DB2114">
        <w:rPr>
          <w:color w:val="000000" w:themeColor="text1"/>
        </w:rPr>
        <w:t xml:space="preserve"> 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Presidente da OSC</w:t>
      </w:r>
    </w:p>
    <w:p w:rsidR="00DB2114" w:rsidRDefault="00E40D52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FC345E">
        <w:t>Conselho Comunitário Pro-Segurança Pública de São João da Urtiga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Default="007F750A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ARMANDO DUPONT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Prefeito Municipal</w:t>
      </w:r>
    </w:p>
    <w:p w:rsidR="00DB2114" w:rsidRDefault="007F750A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São João da Urtiga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Pr="00291E56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291E56">
        <w:t>AL</w:t>
      </w:r>
      <w:r w:rsidR="00291E56" w:rsidRPr="00291E56">
        <w:t>TAIR MIOLA</w:t>
      </w:r>
    </w:p>
    <w:p w:rsidR="00DB2114" w:rsidRPr="00291E56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291E56">
        <w:t xml:space="preserve">Gestor – Portaria </w:t>
      </w:r>
      <w:r w:rsidR="00291E56" w:rsidRPr="00291E56">
        <w:t>179</w:t>
      </w:r>
      <w:r w:rsidRPr="00291E56">
        <w:t>/201</w:t>
      </w:r>
      <w:r w:rsidR="00291E56" w:rsidRPr="00291E56">
        <w:t>8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34CF7">
        <w:rPr>
          <w:color w:val="000000" w:themeColor="text1"/>
        </w:rPr>
        <w:t> 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Testemunhas: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</w:t>
      </w:r>
    </w:p>
    <w:p w:rsidR="00DB2114" w:rsidRDefault="00DB2114" w:rsidP="00DB211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B2114" w:rsidRPr="00DB2114" w:rsidRDefault="00DB2114" w:rsidP="00DB2114"/>
    <w:sectPr w:rsidR="00DB2114" w:rsidRPr="00DB2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C7" w:rsidRDefault="00485EC7" w:rsidP="00694B8D">
      <w:r>
        <w:separator/>
      </w:r>
    </w:p>
  </w:endnote>
  <w:endnote w:type="continuationSeparator" w:id="0">
    <w:p w:rsidR="00485EC7" w:rsidRDefault="00485EC7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694B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694B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694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C7" w:rsidRDefault="00485EC7" w:rsidP="00694B8D">
      <w:r>
        <w:separator/>
      </w:r>
    </w:p>
  </w:footnote>
  <w:footnote w:type="continuationSeparator" w:id="0">
    <w:p w:rsidR="00485EC7" w:rsidRDefault="00485EC7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DF1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DF1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60" o:spid="_x0000_s2051" type="#_x0000_t75" style="position:absolute;margin-left:0;margin-top:0;width:596.65pt;height:841.9pt;z-index:-251656192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DF1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AC5"/>
    <w:multiLevelType w:val="multilevel"/>
    <w:tmpl w:val="F2844B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291771"/>
    <w:multiLevelType w:val="multilevel"/>
    <w:tmpl w:val="E778A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61BA"/>
    <w:multiLevelType w:val="multilevel"/>
    <w:tmpl w:val="E954E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14D1E"/>
    <w:multiLevelType w:val="multilevel"/>
    <w:tmpl w:val="93B64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1B25"/>
    <w:multiLevelType w:val="multilevel"/>
    <w:tmpl w:val="20C81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05F3E"/>
    <w:multiLevelType w:val="multilevel"/>
    <w:tmpl w:val="15326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E26D3"/>
    <w:multiLevelType w:val="multilevel"/>
    <w:tmpl w:val="4EC2D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2FAD"/>
    <w:multiLevelType w:val="multilevel"/>
    <w:tmpl w:val="674A1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00D02"/>
    <w:multiLevelType w:val="multilevel"/>
    <w:tmpl w:val="8E2E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D465D"/>
    <w:multiLevelType w:val="multilevel"/>
    <w:tmpl w:val="4F7CA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A05AF"/>
    <w:multiLevelType w:val="multilevel"/>
    <w:tmpl w:val="90662E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C786E"/>
    <w:multiLevelType w:val="multilevel"/>
    <w:tmpl w:val="D6BA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D7BA5"/>
    <w:multiLevelType w:val="multilevel"/>
    <w:tmpl w:val="63A62F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8D"/>
    <w:rsid w:val="000129F3"/>
    <w:rsid w:val="00032C76"/>
    <w:rsid w:val="000B7307"/>
    <w:rsid w:val="00101B7E"/>
    <w:rsid w:val="00114828"/>
    <w:rsid w:val="00120451"/>
    <w:rsid w:val="00123DB5"/>
    <w:rsid w:val="00186437"/>
    <w:rsid w:val="001F4918"/>
    <w:rsid w:val="00202522"/>
    <w:rsid w:val="00266FE3"/>
    <w:rsid w:val="00291E56"/>
    <w:rsid w:val="002D17FE"/>
    <w:rsid w:val="002F4070"/>
    <w:rsid w:val="00325CB2"/>
    <w:rsid w:val="00485EC7"/>
    <w:rsid w:val="004C0ED1"/>
    <w:rsid w:val="0056399D"/>
    <w:rsid w:val="005C7785"/>
    <w:rsid w:val="005D3C17"/>
    <w:rsid w:val="005F098F"/>
    <w:rsid w:val="0068347F"/>
    <w:rsid w:val="00694B8D"/>
    <w:rsid w:val="00740BF9"/>
    <w:rsid w:val="007770B7"/>
    <w:rsid w:val="00784A3C"/>
    <w:rsid w:val="007F750A"/>
    <w:rsid w:val="00854ECD"/>
    <w:rsid w:val="008F6E0C"/>
    <w:rsid w:val="00A905B5"/>
    <w:rsid w:val="00AB62FC"/>
    <w:rsid w:val="00B50DA5"/>
    <w:rsid w:val="00BD2CB5"/>
    <w:rsid w:val="00D2016F"/>
    <w:rsid w:val="00DB2114"/>
    <w:rsid w:val="00DF196C"/>
    <w:rsid w:val="00DF3D5A"/>
    <w:rsid w:val="00E40D52"/>
    <w:rsid w:val="00F2239D"/>
    <w:rsid w:val="00F5526C"/>
    <w:rsid w:val="00F82787"/>
    <w:rsid w:val="00F86DB4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6437"/>
    <w:pPr>
      <w:keepNext/>
      <w:outlineLvl w:val="0"/>
    </w:pPr>
    <w:rPr>
      <w:b/>
      <w:bCs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0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4B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1Char">
    <w:name w:val="Título 1 Char"/>
    <w:basedOn w:val="Fontepargpadro"/>
    <w:link w:val="Ttulo1"/>
    <w:rsid w:val="00186437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70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770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770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8347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834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B211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B2114"/>
    <w:rPr>
      <w:b/>
      <w:bCs/>
    </w:rPr>
  </w:style>
  <w:style w:type="table" w:styleId="Tabelacomgrade">
    <w:name w:val="Table Grid"/>
    <w:basedOn w:val="Tabelanormal"/>
    <w:uiPriority w:val="39"/>
    <w:rsid w:val="00DB21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9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6437"/>
    <w:pPr>
      <w:keepNext/>
      <w:outlineLvl w:val="0"/>
    </w:pPr>
    <w:rPr>
      <w:b/>
      <w:bCs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0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4B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1Char">
    <w:name w:val="Título 1 Char"/>
    <w:basedOn w:val="Fontepargpadro"/>
    <w:link w:val="Ttulo1"/>
    <w:rsid w:val="00186437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70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770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770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8347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834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B211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B2114"/>
    <w:rPr>
      <w:b/>
      <w:bCs/>
    </w:rPr>
  </w:style>
  <w:style w:type="table" w:styleId="Tabelacomgrade">
    <w:name w:val="Table Grid"/>
    <w:basedOn w:val="Tabelanormal"/>
    <w:uiPriority w:val="39"/>
    <w:rsid w:val="00DB21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9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909E-CA20-4660-89E2-EA7080CB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2945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Melania</cp:lastModifiedBy>
  <cp:revision>37</cp:revision>
  <cp:lastPrinted>2018-09-06T14:14:00Z</cp:lastPrinted>
  <dcterms:created xsi:type="dcterms:W3CDTF">2018-04-17T17:14:00Z</dcterms:created>
  <dcterms:modified xsi:type="dcterms:W3CDTF">2018-09-06T14:17:00Z</dcterms:modified>
</cp:coreProperties>
</file>