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6075" w14:textId="77777777" w:rsidR="00E47EFF" w:rsidRPr="00111743" w:rsidRDefault="00111743">
      <w:pPr>
        <w:spacing w:line="360" w:lineRule="auto"/>
        <w:ind w:left="-566" w:right="-324"/>
        <w:jc w:val="center"/>
        <w:rPr>
          <w:rFonts w:ascii="Times New Roman" w:eastAsia="Times New Roman" w:hAnsi="Times New Roman" w:cs="Times New Roman"/>
          <w:b/>
          <w:lang w:val="pt-BR"/>
        </w:rPr>
      </w:pPr>
      <w:r w:rsidRPr="00111743">
        <w:rPr>
          <w:rFonts w:ascii="Times New Roman" w:eastAsia="Times New Roman" w:hAnsi="Times New Roman" w:cs="Times New Roman"/>
          <w:b/>
          <w:lang w:val="pt-BR"/>
        </w:rPr>
        <w:t>CONTRATO ADMINISTRATIVO Nº 091/2023</w:t>
      </w:r>
    </w:p>
    <w:p w14:paraId="59E12498"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b/>
          <w:lang w:val="pt-BR"/>
        </w:rPr>
        <w:t>CONTRATAÇÃO DE EMPRESA PARA PRESTAÇÃO DE SERVIÇOS DE ENGENHARIA MECÂNICA</w:t>
      </w:r>
    </w:p>
    <w:p w14:paraId="2D45CEFC" w14:textId="77777777" w:rsidR="00E47EFF" w:rsidRPr="00111743" w:rsidRDefault="00111743">
      <w:pPr>
        <w:spacing w:line="24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6A22655F" w14:textId="77777777" w:rsidR="00E47EFF" w:rsidRPr="00111743" w:rsidRDefault="00111743">
      <w:pPr>
        <w:spacing w:line="360" w:lineRule="auto"/>
        <w:ind w:left="-566" w:right="-324" w:firstLine="566"/>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Aos 14 dias do mês de novembro do ano de 2023, de um lado o </w:t>
      </w:r>
      <w:r w:rsidRPr="00111743">
        <w:rPr>
          <w:rFonts w:ascii="Times New Roman" w:eastAsia="Times New Roman" w:hAnsi="Times New Roman" w:cs="Times New Roman"/>
          <w:b/>
          <w:lang w:val="pt-BR"/>
        </w:rPr>
        <w:t>MUNICÍPIO DE SÃO JOÃO DA URTIGA/RS</w:t>
      </w:r>
      <w:r w:rsidRPr="00111743">
        <w:rPr>
          <w:rFonts w:ascii="Times New Roman" w:eastAsia="Times New Roman" w:hAnsi="Times New Roman" w:cs="Times New Roman"/>
          <w:lang w:val="pt-BR"/>
        </w:rPr>
        <w:t xml:space="preserve">, pessoa jurídica de direito público, inscrito no CNPJ sob o nº 90.483.082/0001-65, com sede na Av. </w:t>
      </w:r>
      <w:r>
        <w:rPr>
          <w:rFonts w:ascii="Times New Roman" w:eastAsia="Times New Roman" w:hAnsi="Times New Roman" w:cs="Times New Roman"/>
        </w:rPr>
        <w:t xml:space="preserve">Professor Zeferino, nº 991, bairro centro, cidade de São João da Urtiga, Estado do Rio Grande do Sul, neste ato representado pelo Prefeito Municipal, Sr. Cezar Olímpio Zandoná, brasileiro(a), maior, residente e domiciliado(a) na Av. </w:t>
      </w:r>
      <w:r w:rsidRPr="00111743">
        <w:rPr>
          <w:rFonts w:ascii="Times New Roman" w:eastAsia="Times New Roman" w:hAnsi="Times New Roman" w:cs="Times New Roman"/>
          <w:lang w:val="pt-BR"/>
        </w:rPr>
        <w:t xml:space="preserve">Professor Zeferino, nº 1.642, Município de São João da Urtiga, Estado do Rio Grande do Sul, portador do CPF nº 567.769.420-72 e Carteira de Identidade nº 3057333373, doravante denominado simplesmente de </w:t>
      </w:r>
      <w:r w:rsidRPr="00111743">
        <w:rPr>
          <w:rFonts w:ascii="Times New Roman" w:eastAsia="Times New Roman" w:hAnsi="Times New Roman" w:cs="Times New Roman"/>
          <w:b/>
          <w:lang w:val="pt-BR"/>
        </w:rPr>
        <w:t xml:space="preserve">CONTRATANTE </w:t>
      </w:r>
      <w:r w:rsidRPr="00111743">
        <w:rPr>
          <w:rFonts w:ascii="Times New Roman" w:eastAsia="Times New Roman" w:hAnsi="Times New Roman" w:cs="Times New Roman"/>
          <w:lang w:val="pt-BR"/>
        </w:rPr>
        <w:t xml:space="preserve">e, de outro lado, a empresa </w:t>
      </w:r>
      <w:r w:rsidRPr="00111743">
        <w:rPr>
          <w:rFonts w:ascii="Times New Roman" w:eastAsia="Times New Roman" w:hAnsi="Times New Roman" w:cs="Times New Roman"/>
          <w:b/>
          <w:lang w:val="pt-BR"/>
        </w:rPr>
        <w:t xml:space="preserve">BSK ENGENHARIA, </w:t>
      </w:r>
      <w:r w:rsidRPr="00111743">
        <w:rPr>
          <w:rFonts w:ascii="Times New Roman" w:eastAsia="Times New Roman" w:hAnsi="Times New Roman" w:cs="Times New Roman"/>
          <w:lang w:val="pt-BR"/>
        </w:rPr>
        <w:t xml:space="preserve">, pessoa jurídica de direito privado, inscrita no CNPJ sob n° 28.425.500/0001-94, com sede na Rua Vitorio Faccio, n° 202, Sala 01, CEP 99855-000, no município de São João da Urtiga, Estado do Rio Grande do Sul, neste ato representado pelo seu administrador, Sr. Mauro Junior Bielski, residente e domiciliado(a) na Rua Herminio Picoloto, nº 79, Bairro Centro, Município de Sananduva, Estado do Rio Grande do Sul, portador do CPF nº 005.885.130-59 e Carteira de Identidade nº 3080394699, expedida pela SJS/RS, doravante denominada simplesmente </w:t>
      </w:r>
      <w:r w:rsidRPr="00111743">
        <w:rPr>
          <w:rFonts w:ascii="Times New Roman" w:eastAsia="Times New Roman" w:hAnsi="Times New Roman" w:cs="Times New Roman"/>
          <w:b/>
          <w:lang w:val="pt-BR"/>
        </w:rPr>
        <w:t>CONTRATADA</w:t>
      </w:r>
      <w:r w:rsidRPr="00111743">
        <w:rPr>
          <w:rFonts w:ascii="Times New Roman" w:eastAsia="Times New Roman" w:hAnsi="Times New Roman" w:cs="Times New Roman"/>
          <w:lang w:val="pt-BR"/>
        </w:rPr>
        <w:t>, celebram entre si o presente Contrato que será regido pelas cláusulas e condições que seguem.</w:t>
      </w:r>
    </w:p>
    <w:p w14:paraId="4497E6D2" w14:textId="77777777" w:rsidR="00E47EFF" w:rsidRPr="00111743" w:rsidRDefault="00111743">
      <w:pPr>
        <w:spacing w:line="24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127EE30E"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PRIMEIRA – DA FUNDAMENTAÇÃO</w:t>
      </w:r>
    </w:p>
    <w:p w14:paraId="28D93E9E"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O presente instrumento é fundamentado no procedimento realizado pela CONTRATANTE através do instrumento de contratação direta, dispensa de licitação nº 021/2023 e na proposta vencedora, conforme termos de homologação e de adjudicação datados de 13/11/2023, e se regerá pelas cláusulas aqui previstas, bem como pelas normas da Lei Federal nº 14.133/2021 (inclusive nos casos omissos), suas alterações posteriores e demais dispositivos legais aplicáveis.</w:t>
      </w:r>
    </w:p>
    <w:p w14:paraId="31440585" w14:textId="77777777" w:rsidR="00E47EFF" w:rsidRPr="00111743" w:rsidRDefault="00111743">
      <w:pPr>
        <w:spacing w:line="24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19949C28"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SEGUNDA – DO OBJETO</w:t>
      </w:r>
    </w:p>
    <w:p w14:paraId="75376007" w14:textId="77777777" w:rsidR="00E47EFF" w:rsidRPr="00111743" w:rsidRDefault="00111743">
      <w:pPr>
        <w:spacing w:after="240"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O presente contrato tem por objeto a contratação de empresa para realizar a prestação de serviços de assessoria e consultoria na área de Engenharia Mecânica para máquinas, veículos e equipamentos de órgãos públicos. Os serviços deverão ser prestados através de profissional formado na área, com experiência junto a órgãos públicos, sendo especializada na confecção de laudos e pareceres técnicos de avaliação de veículos e equipamentos. Considerando que é necessário a realização de avaliação de veículos, equipamentos e sucatas para a realização de leilões, auxílio na descrição dos objetos e termos de referência de editais licitatórios, realização trabalho preventivo no cuidado com os equipamentos e veículos, maquinas e equipamentos da municipalidade, através de orientações aos motoristas e operadores de máquinas. Confecção de laudos técnicos para recebimento de veículos e equipamentos da municipalidade, auxiliando na gestão da frota municipal, através de visitas semanais, sendo 4h semanais de trabalho in loco, além de consultoria on-line. A pretensa contratação também se justifica, em suma </w:t>
      </w:r>
      <w:r w:rsidRPr="00111743">
        <w:rPr>
          <w:rFonts w:ascii="Times New Roman" w:eastAsia="Times New Roman" w:hAnsi="Times New Roman" w:cs="Times New Roman"/>
          <w:lang w:val="pt-BR"/>
        </w:rPr>
        <w:lastRenderedPageBreak/>
        <w:t>importância para que ocorra a devida manutenção dos equipamentos, preservando assim os bens públicos da municipalidade.</w:t>
      </w:r>
    </w:p>
    <w:p w14:paraId="686BE0E8" w14:textId="77777777" w:rsidR="00E47EFF" w:rsidRPr="00111743" w:rsidRDefault="00111743">
      <w:pPr>
        <w:spacing w:after="240" w:line="360" w:lineRule="auto"/>
        <w:ind w:left="-566" w:right="-324"/>
        <w:jc w:val="both"/>
        <w:rPr>
          <w:rFonts w:ascii="Times New Roman" w:eastAsia="Times New Roman" w:hAnsi="Times New Roman" w:cs="Times New Roman"/>
          <w:b/>
          <w:color w:val="000000"/>
          <w:lang w:val="pt-BR"/>
        </w:rPr>
      </w:pPr>
      <w:r w:rsidRPr="00111743">
        <w:rPr>
          <w:rFonts w:ascii="Times New Roman" w:eastAsia="Times New Roman" w:hAnsi="Times New Roman" w:cs="Times New Roman"/>
          <w:b/>
          <w:lang w:val="pt-BR"/>
        </w:rPr>
        <w:t>C</w:t>
      </w:r>
      <w:r w:rsidRPr="00111743">
        <w:rPr>
          <w:rFonts w:ascii="Times New Roman" w:eastAsia="Times New Roman" w:hAnsi="Times New Roman" w:cs="Times New Roman"/>
          <w:b/>
          <w:color w:val="000000"/>
          <w:lang w:val="pt-BR"/>
        </w:rPr>
        <w:t>LÁUSULA TERCEIRA - DO PRAZO, FORMA E LOCAL DO FORNECIMENTO</w:t>
      </w:r>
    </w:p>
    <w:p w14:paraId="0DA00192"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3.1. O prazo de contratação do objeto é de 12 (doze) meses a contar da assinatura do presente contrato.</w:t>
      </w:r>
    </w:p>
    <w:p w14:paraId="4E68F6FC"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3.2. O objeto deverá ser entregue de acordo com previsto neste contrato e na proposta vencedora da licitação.</w:t>
      </w:r>
    </w:p>
    <w:p w14:paraId="2BD7FD30"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3.3. Aplicam-se ao presente contrato os seguintes prazos (no caso de fornecimento contínuo, deve ser estabelecido o cronograma de entrega, segundo o edital de licitação):</w:t>
      </w:r>
    </w:p>
    <w:p w14:paraId="1818D389"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 - A CONTRATADA deverá realizar o fornecimento do objeto do presente contrato no prazo 12 (doze) meses, contados a partir da assinatura do contrato;</w:t>
      </w:r>
    </w:p>
    <w:p w14:paraId="0B77F1FC"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II - O prazo de vigência do contrato será de 12 (doze) meses, tendo como prazo inicial a data deste contrato.</w:t>
      </w:r>
    </w:p>
    <w:p w14:paraId="138B0167"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Parágrafo único. O presente contrato poderá ser prorrogado sucessivamente, respeitada a vigência máxima decenal, mediante demonstração de que as condições e os preços permanecem vantajosos para a CONTRATANTE, sendo permitidas eventuais negociações entre as partes.</w:t>
      </w:r>
    </w:p>
    <w:p w14:paraId="56C19060"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r>
    </w:p>
    <w:p w14:paraId="5ACCA969"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QUARTA– DO PREÇO</w:t>
      </w:r>
    </w:p>
    <w:p w14:paraId="788C089E"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O preço a ser pago pelo fornecimento do objeto do presente contrato é de R$ 39.600,00 (trinta e nove mil e seiscentos reais), pagos mensalmente em parcelas de R$ 3.300,00 (três mil e trezentos reais), conforme a proposta vencedora da licitação, ofertada pela CONTRATADA.</w:t>
      </w:r>
    </w:p>
    <w:p w14:paraId="2F338FAF"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681BF0D5"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QUINTA – DO PAGAMENTO</w:t>
      </w:r>
    </w:p>
    <w:p w14:paraId="12F3076E"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O pagamento será efetuado mensalmente, em parcelas mensais de R$3.300,00 (três mil e trezentos reais), mediante a entrega do objeto contratado e aprovação da fiscalização da CONTRATANTE, e mediante apresentação da nota fiscal.</w:t>
      </w:r>
    </w:p>
    <w:p w14:paraId="1070B798" w14:textId="77777777" w:rsidR="00E47EFF" w:rsidRPr="00111743" w:rsidRDefault="00111743">
      <w:pPr>
        <w:spacing w:before="240"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4F3FF146"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SEXTA – DO RECURSO FINANCEIRO</w:t>
      </w:r>
    </w:p>
    <w:p w14:paraId="6317E6F7"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As despesas do presente contrato correrão à conta da seguinte dotação orçamentária:</w:t>
      </w:r>
    </w:p>
    <w:p w14:paraId="27047816"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03 Secretaria Municipal de Administração</w:t>
      </w:r>
    </w:p>
    <w:p w14:paraId="717F9C1C" w14:textId="77777777" w:rsidR="00E47EFF" w:rsidRPr="00111743" w:rsidRDefault="00111743">
      <w:pPr>
        <w:spacing w:line="360" w:lineRule="auto"/>
        <w:ind w:left="153" w:right="-324" w:firstLine="566"/>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2007 Manutenção das atividades da Secretaria de Administração</w:t>
      </w:r>
    </w:p>
    <w:p w14:paraId="4794E03F" w14:textId="77777777" w:rsidR="00E47EFF" w:rsidRPr="00111743" w:rsidRDefault="00111743">
      <w:pPr>
        <w:spacing w:line="360" w:lineRule="auto"/>
        <w:ind w:left="153" w:right="-324" w:firstLine="566"/>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339039 Outros serviços de terceiros - pessoa jurídica (32)</w:t>
      </w:r>
    </w:p>
    <w:p w14:paraId="356BB751" w14:textId="77777777" w:rsidR="00E47EFF" w:rsidRPr="00111743" w:rsidRDefault="00111743">
      <w:pPr>
        <w:spacing w:line="360" w:lineRule="auto"/>
        <w:ind w:left="153" w:right="-324" w:firstLine="566"/>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Subelemento da despesa 05000000</w:t>
      </w:r>
    </w:p>
    <w:p w14:paraId="00645D85" w14:textId="77777777" w:rsidR="00E47EFF" w:rsidRPr="00111743" w:rsidRDefault="00111743">
      <w:pPr>
        <w:spacing w:line="360" w:lineRule="auto"/>
        <w:ind w:left="153" w:right="-324" w:firstLine="566"/>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Vínculo 0001</w:t>
      </w:r>
    </w:p>
    <w:p w14:paraId="2564688C" w14:textId="77777777" w:rsidR="00E47EFF" w:rsidRPr="00111743" w:rsidRDefault="00E47EFF">
      <w:pPr>
        <w:spacing w:line="360" w:lineRule="auto"/>
        <w:ind w:left="153" w:right="-324" w:firstLine="566"/>
        <w:jc w:val="both"/>
        <w:rPr>
          <w:rFonts w:ascii="Times New Roman" w:eastAsia="Times New Roman" w:hAnsi="Times New Roman" w:cs="Times New Roman"/>
          <w:lang w:val="pt-BR"/>
        </w:rPr>
      </w:pPr>
    </w:p>
    <w:p w14:paraId="180B834D"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SÉTIMA – DA ATUALIZAÇÃO MONETÁRIA</w:t>
      </w:r>
    </w:p>
    <w:p w14:paraId="0CB8EAEE"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lastRenderedPageBreak/>
        <w:t>Ocorrendo atraso no pagamento, os valores serão atualizados monetariamente pelo índice IPCA-IBGE do período, ou outro índice que vier a substituí-lo, e a CONTRATANTE compensará a CONTRATADA com juros de 0,5% ao mês calculados pró-rata dia, até o efetivo pagamento.</w:t>
      </w:r>
    </w:p>
    <w:p w14:paraId="2D196AA7"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431D595E"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OITAVA – DO REAJUSTAMENTO</w:t>
      </w:r>
    </w:p>
    <w:p w14:paraId="57FA36AD"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O valor relativo ao objeto do presente contrato poderá ser reajustado a contar da data-base vinculada à data do orçamento estimado, através do índice IPCA-IBGE;</w:t>
      </w:r>
    </w:p>
    <w:p w14:paraId="35106849" w14:textId="77777777" w:rsidR="00E47EFF" w:rsidRPr="00111743" w:rsidRDefault="00E47EFF">
      <w:pPr>
        <w:spacing w:line="360" w:lineRule="auto"/>
        <w:ind w:left="-566" w:right="-324"/>
        <w:jc w:val="both"/>
        <w:rPr>
          <w:rFonts w:ascii="Times New Roman" w:eastAsia="Times New Roman" w:hAnsi="Times New Roman" w:cs="Times New Roman"/>
          <w:lang w:val="pt-BR"/>
        </w:rPr>
      </w:pPr>
    </w:p>
    <w:p w14:paraId="517D7F67"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NONA – DO REEQUILÍBRIO ECONÔMICO-FINANCEIRO</w:t>
      </w:r>
    </w:p>
    <w:p w14:paraId="568D65D0"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comprovação e respeitando a repartição objetiva de risco estabelecida.</w:t>
      </w:r>
    </w:p>
    <w:p w14:paraId="0987BCC6"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Parágrafo único. Em sendo solicitado o reequilíbrio econômico-financeiro, a CONTRATANTE responderá ao pedido dentro do prazo máximo de 15 (quinze) dias contados da data do fornecimento da documentação que o instruiu.</w:t>
      </w:r>
    </w:p>
    <w:p w14:paraId="3761B419"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3A46F774"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DÉCIMA – DAS OBRIGAÇÕES DA CONTRATANTE</w:t>
      </w:r>
    </w:p>
    <w:p w14:paraId="4F8FE4D9"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São obrigações da CONTRATANTE:</w:t>
      </w:r>
    </w:p>
    <w:p w14:paraId="5E4B2C27"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 - Efetuar o devido pagamento à CONTRATADA, nos termos do presente instrumento;</w:t>
      </w:r>
    </w:p>
    <w:p w14:paraId="04E9AD69"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II - Dar à CONTRATADA as condições necessárias à regular execução do contrato;</w:t>
      </w:r>
    </w:p>
    <w:p w14:paraId="13AE5570"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III - Determinar as providências necessárias quando o fornecimento do objeto não observar a forma estipulada no edital e no presente contrato, sem prejuízo da aplicação das sanções cabíveis, quando for o caso;</w:t>
      </w:r>
    </w:p>
    <w:p w14:paraId="22105752"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IV - Designar servidor pertencente ao quadro da CONTRATANTE, para ser responsável pelo acompanhamento e fiscalização da execução do objeto do presente contrato;</w:t>
      </w:r>
    </w:p>
    <w:p w14:paraId="67F2B004"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V - Cumprir todas as demais cláusulas do presente contrato.</w:t>
      </w:r>
    </w:p>
    <w:p w14:paraId="64577160"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09A56D9C"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DÉCIMA PRIMEIRA – DAS OBRIGAÇÕES DA CONTRATADA</w:t>
      </w:r>
    </w:p>
    <w:p w14:paraId="2A6AA535"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São obrigações da CONTRATADA:</w:t>
      </w:r>
    </w:p>
    <w:p w14:paraId="5850AA2F"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 - Fornecer o objeto de acordo com as especificações, quantidade e prazos do edital e do presente contrato, bem como nos termos da sua proposta;</w:t>
      </w:r>
    </w:p>
    <w:p w14:paraId="299DB54D"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II - Responsabilizar-se por cumprir todas as obrigações trabalhistas, previdenciárias e acidentárias relativas aos funcionários que empregar para a execução do objeto, inclusive as decorrentes de convenções, acordos ou dissídios coletivos;</w:t>
      </w:r>
    </w:p>
    <w:p w14:paraId="224117DA"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 xml:space="preserve">III - Manter durante a execução do contrato, em compatibilidade com as obrigações assumidas, todas as condições de habilitação e qualificação exigidas na licitação, apresentando, mensalmente, cópia das guias </w:t>
      </w:r>
      <w:r w:rsidRPr="00111743">
        <w:rPr>
          <w:rFonts w:ascii="Times New Roman" w:eastAsia="Times New Roman" w:hAnsi="Times New Roman" w:cs="Times New Roman"/>
          <w:lang w:val="pt-BR"/>
        </w:rPr>
        <w:lastRenderedPageBreak/>
        <w:t>de recolhimento das contribuições para o FGTS e o INSS relativas aos empregados alocados para a execução do contrato, bem como da certidão negativa de débitos trabalhistas (CNDT);</w:t>
      </w:r>
    </w:p>
    <w:p w14:paraId="363CC79C"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IV – Cumprir as exigências de reserva de cargos prevista em lei, bem como em outras normas específicas, para pessoa com deficiência, para reabilitado da Previdência Social e para aprendiz;</w:t>
      </w:r>
    </w:p>
    <w:p w14:paraId="54C2751A"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V - Zelar pelo cumprimento, por parte de seus empregados, das normas do Ministério do Trabalho, cabendo à CONTRATADA o fornecimento de equipamentos de proteção individual (EPI);</w:t>
      </w:r>
    </w:p>
    <w:p w14:paraId="43134096"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VI - Responsabilizar-se por todos os danos causados por seus funcionários à CONTRATANTE e/ou terceiros, decorrentes de culpa ou dolo, devidamente apurados mediante processo administrativo, quando da execução do objeto contratado;</w:t>
      </w:r>
    </w:p>
    <w:p w14:paraId="54A181AC"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VII - Reparar e/ou corrigir, às suas expensas, o fornecimento em que se verificar vícios, defeitos ou incorreções resultantes da execução do objeto em desacordo com o pactuado;</w:t>
      </w:r>
    </w:p>
    <w:p w14:paraId="52F892C1"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VIII - Executar as obrigações assumidas no presente contrato por seus próprios meios, não sendo admitida a subcontratação não prevista em edital e no presente contrato.</w:t>
      </w:r>
    </w:p>
    <w:p w14:paraId="2522C5D7" w14:textId="77777777" w:rsidR="00E47EFF" w:rsidRPr="00111743" w:rsidRDefault="00111743">
      <w:pPr>
        <w:spacing w:line="24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420C86C6"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DÉCIMA SEGUNDA – DA GESTÃO DO CONTRATO</w:t>
      </w:r>
    </w:p>
    <w:p w14:paraId="759B2036"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 - A execução do contrato deverá ser acompanhada e fiscalizada por 1 (um) fiscal ou por seu respectivo substituto;</w:t>
      </w:r>
    </w:p>
    <w:p w14:paraId="5B2F9FFE"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II - Dentre as responsabilidades do fiscal está a necessidade de anotar, em registro próprio, todas as ocorrências relacionadas à execução do contrato, inclusive quando de seu fiel cumprimento, determinando o que for necessário para a regularização de eventuais faltas ou defeitos observados;</w:t>
      </w:r>
    </w:p>
    <w:p w14:paraId="4D19AE29"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6D3B4165"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DÉCIMA TERCEIRA – DAS PENALIDADES</w:t>
      </w:r>
    </w:p>
    <w:p w14:paraId="1548AC1E"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A CONTRATADA estará sujeita às seguintes penalidades previstas no art. 155 e do art. 156 da Lei nº 14.133/2021, proporcionais à gravidade do ato cometido.</w:t>
      </w:r>
    </w:p>
    <w:p w14:paraId="1FFFA815"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2DDFF569"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DÉCIMA QUARTA – DA EXTINÇÃO</w:t>
      </w:r>
    </w:p>
    <w:p w14:paraId="03D69770"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As hipóteses que constituem motivo para extinção contratual estão elencadas no art. 137 da Lei nº 14.133/2021, que poderão se dar, após assegurados o contraditório e a ampla defesa à CONTRATADA.</w:t>
      </w:r>
    </w:p>
    <w:p w14:paraId="5A7C5271"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A extinção do contrato poderá ser:</w:t>
      </w:r>
    </w:p>
    <w:p w14:paraId="6E73A013"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 - determinada por ato unilateral e escrito da Administração, exceto no caso de descumprimento decorrente de sua própria conduta;</w:t>
      </w:r>
    </w:p>
    <w:p w14:paraId="64D0EFBD"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II - consensual, por acordo entre as partes, por conciliação, por mediação ou por comitê de resolução de disputas, desde que haja interesse da Administração;</w:t>
      </w:r>
    </w:p>
    <w:p w14:paraId="3E8A02CC"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III - determinada por decisão arbitral, em decorrência de cláusula compromissória ou compromisso arbitral, ou por decisão judicial.</w:t>
      </w:r>
    </w:p>
    <w:p w14:paraId="4F9A1D7B"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6669DB90" w14:textId="77777777" w:rsidR="00E47EFF" w:rsidRPr="00111743" w:rsidRDefault="00111743">
      <w:pPr>
        <w:spacing w:line="360" w:lineRule="auto"/>
        <w:ind w:left="-566" w:right="-324"/>
        <w:jc w:val="both"/>
        <w:rPr>
          <w:rFonts w:ascii="Times New Roman" w:eastAsia="Times New Roman" w:hAnsi="Times New Roman" w:cs="Times New Roman"/>
          <w:b/>
          <w:lang w:val="pt-BR"/>
        </w:rPr>
      </w:pPr>
      <w:r w:rsidRPr="00111743">
        <w:rPr>
          <w:rFonts w:ascii="Times New Roman" w:eastAsia="Times New Roman" w:hAnsi="Times New Roman" w:cs="Times New Roman"/>
          <w:b/>
          <w:lang w:val="pt-BR"/>
        </w:rPr>
        <w:t>CLÁUSULA DÉCIMA QUINTA – DO FORO</w:t>
      </w:r>
    </w:p>
    <w:p w14:paraId="06190207"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lastRenderedPageBreak/>
        <w:t>As partes elegem o foro da Comarca de Sananduva/RS para dirimir quaisquer questões relacionadas ao presente contrato.</w:t>
      </w:r>
    </w:p>
    <w:p w14:paraId="086F6A70" w14:textId="77777777" w:rsidR="00E47EFF" w:rsidRPr="00111743" w:rsidRDefault="00111743">
      <w:pPr>
        <w:spacing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3552FE64" w14:textId="77777777" w:rsidR="00E47EFF" w:rsidRPr="00111743" w:rsidRDefault="00111743">
      <w:pPr>
        <w:spacing w:after="240"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r w:rsidRPr="00111743">
        <w:rPr>
          <w:rFonts w:ascii="Times New Roman" w:eastAsia="Times New Roman" w:hAnsi="Times New Roman" w:cs="Times New Roman"/>
          <w:lang w:val="pt-BR"/>
        </w:rPr>
        <w:tab/>
        <w:t>E, por estarem justos e contratados, firmam o presente instrumento em três vias de igual teor e forma.</w:t>
      </w:r>
    </w:p>
    <w:p w14:paraId="4BF6028B" w14:textId="77777777" w:rsidR="00E47EFF" w:rsidRPr="00111743" w:rsidRDefault="00E47EFF">
      <w:pPr>
        <w:spacing w:after="240" w:line="360" w:lineRule="auto"/>
        <w:ind w:left="-566" w:right="-324"/>
        <w:jc w:val="both"/>
        <w:rPr>
          <w:rFonts w:ascii="Times New Roman" w:eastAsia="Times New Roman" w:hAnsi="Times New Roman" w:cs="Times New Roman"/>
          <w:lang w:val="pt-BR"/>
        </w:rPr>
      </w:pPr>
    </w:p>
    <w:p w14:paraId="37CC5B86" w14:textId="77777777" w:rsidR="00E47EFF" w:rsidRPr="00111743" w:rsidRDefault="00111743">
      <w:pPr>
        <w:spacing w:line="360" w:lineRule="auto"/>
        <w:ind w:left="-566" w:right="-324"/>
        <w:jc w:val="right"/>
        <w:rPr>
          <w:rFonts w:ascii="Times New Roman" w:eastAsia="Times New Roman" w:hAnsi="Times New Roman" w:cs="Times New Roman"/>
          <w:lang w:val="pt-BR"/>
        </w:rPr>
      </w:pPr>
      <w:r w:rsidRPr="00111743">
        <w:rPr>
          <w:rFonts w:ascii="Times New Roman" w:eastAsia="Times New Roman" w:hAnsi="Times New Roman" w:cs="Times New Roman"/>
          <w:lang w:val="pt-BR"/>
        </w:rPr>
        <w:t>São João da Urtiga, 14 de novembro de 2023.</w:t>
      </w:r>
    </w:p>
    <w:p w14:paraId="35DFF308" w14:textId="77777777" w:rsidR="00E47EFF" w:rsidRPr="00111743" w:rsidRDefault="00E47EFF">
      <w:pPr>
        <w:spacing w:before="240" w:line="360" w:lineRule="auto"/>
        <w:ind w:left="-566" w:right="-324"/>
        <w:jc w:val="both"/>
        <w:rPr>
          <w:rFonts w:ascii="Times New Roman" w:eastAsia="Times New Roman" w:hAnsi="Times New Roman" w:cs="Times New Roman"/>
          <w:lang w:val="pt-BR"/>
        </w:rPr>
      </w:pPr>
    </w:p>
    <w:p w14:paraId="6B7B3B17"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______________________</w:t>
      </w:r>
    </w:p>
    <w:p w14:paraId="7196E29B"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Cezar Olímpio Zandoná</w:t>
      </w:r>
    </w:p>
    <w:p w14:paraId="44803AE3"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Prefeito Municipal</w:t>
      </w:r>
    </w:p>
    <w:p w14:paraId="065FE392"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27AA07FF"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41017EB4"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______________________</w:t>
      </w:r>
    </w:p>
    <w:p w14:paraId="71669AA7"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BSK ENGENHARIA LTDA</w:t>
      </w:r>
    </w:p>
    <w:p w14:paraId="0847DBA7" w14:textId="77777777" w:rsidR="00E47EFF" w:rsidRPr="00111743" w:rsidRDefault="00111743">
      <w:pPr>
        <w:spacing w:line="360" w:lineRule="auto"/>
        <w:ind w:left="-566" w:right="-324"/>
        <w:jc w:val="center"/>
        <w:rPr>
          <w:rFonts w:ascii="Times New Roman" w:eastAsia="Times New Roman" w:hAnsi="Times New Roman" w:cs="Times New Roman"/>
          <w:lang w:val="pt-BR"/>
        </w:rPr>
      </w:pPr>
      <w:r w:rsidRPr="00111743">
        <w:rPr>
          <w:rFonts w:ascii="Times New Roman" w:eastAsia="Times New Roman" w:hAnsi="Times New Roman" w:cs="Times New Roman"/>
          <w:lang w:val="pt-BR"/>
        </w:rPr>
        <w:t>Mauro Junior Bielski</w:t>
      </w:r>
    </w:p>
    <w:p w14:paraId="47C24732" w14:textId="77777777" w:rsidR="00E47EFF" w:rsidRPr="00111743" w:rsidRDefault="00111743">
      <w:pPr>
        <w:spacing w:before="240" w:line="360" w:lineRule="auto"/>
        <w:ind w:left="-566" w:right="-324"/>
        <w:jc w:val="both"/>
        <w:rPr>
          <w:rFonts w:ascii="Times New Roman" w:eastAsia="Times New Roman" w:hAnsi="Times New Roman" w:cs="Times New Roman"/>
          <w:lang w:val="pt-BR"/>
        </w:rPr>
      </w:pPr>
      <w:r w:rsidRPr="00111743">
        <w:rPr>
          <w:rFonts w:ascii="Times New Roman" w:eastAsia="Times New Roman" w:hAnsi="Times New Roman" w:cs="Times New Roman"/>
          <w:lang w:val="pt-BR"/>
        </w:rPr>
        <w:t xml:space="preserve"> </w:t>
      </w:r>
    </w:p>
    <w:p w14:paraId="0332257B" w14:textId="77777777" w:rsidR="00E47EFF" w:rsidRDefault="00111743">
      <w:pPr>
        <w:spacing w:line="360" w:lineRule="auto"/>
        <w:ind w:left="-566" w:right="-324"/>
        <w:jc w:val="both"/>
        <w:rPr>
          <w:rFonts w:ascii="Times New Roman" w:eastAsia="Times New Roman" w:hAnsi="Times New Roman" w:cs="Times New Roman"/>
        </w:rPr>
      </w:pPr>
      <w:r>
        <w:rPr>
          <w:rFonts w:ascii="Times New Roman" w:eastAsia="Times New Roman" w:hAnsi="Times New Roman" w:cs="Times New Roman"/>
        </w:rPr>
        <w:t>Testemunhas:</w:t>
      </w:r>
    </w:p>
    <w:p w14:paraId="35D48AC5" w14:textId="77777777" w:rsidR="00E47EFF" w:rsidRDefault="00E47EFF">
      <w:pPr>
        <w:spacing w:line="360" w:lineRule="auto"/>
        <w:ind w:left="-566" w:right="-324"/>
        <w:jc w:val="both"/>
        <w:rPr>
          <w:rFonts w:ascii="Times New Roman" w:eastAsia="Times New Roman" w:hAnsi="Times New Roman" w:cs="Times New Roman"/>
        </w:rPr>
      </w:pPr>
    </w:p>
    <w:p w14:paraId="35DC6C0E" w14:textId="77777777" w:rsidR="00E47EFF" w:rsidRDefault="00111743">
      <w:pPr>
        <w:spacing w:line="360" w:lineRule="auto"/>
        <w:ind w:left="-566" w:right="-324"/>
        <w:jc w:val="both"/>
        <w:rPr>
          <w:rFonts w:ascii="Times New Roman" w:eastAsia="Times New Roman" w:hAnsi="Times New Roman" w:cs="Times New Roman"/>
        </w:rPr>
      </w:pPr>
      <w:r>
        <w:rPr>
          <w:rFonts w:ascii="Times New Roman" w:eastAsia="Times New Roman" w:hAnsi="Times New Roman" w:cs="Times New Roman"/>
        </w:rPr>
        <w:t xml:space="preserve">_________________________                                            </w:t>
      </w:r>
      <w:r>
        <w:rPr>
          <w:rFonts w:ascii="Times New Roman" w:eastAsia="Times New Roman" w:hAnsi="Times New Roman" w:cs="Times New Roman"/>
        </w:rPr>
        <w:tab/>
        <w:t>________________________</w:t>
      </w:r>
    </w:p>
    <w:sectPr w:rsidR="00E47EFF">
      <w:headerReference w:type="default" r:id="rId6"/>
      <w:footerReference w:type="default" r:id="rId7"/>
      <w:pgSz w:w="11909" w:h="16834"/>
      <w:pgMar w:top="1440" w:right="1440" w:bottom="1440" w:left="1440" w:header="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EC3B" w14:textId="77777777" w:rsidR="005653C8" w:rsidRDefault="00111743">
      <w:pPr>
        <w:spacing w:line="240" w:lineRule="auto"/>
      </w:pPr>
      <w:r>
        <w:separator/>
      </w:r>
    </w:p>
  </w:endnote>
  <w:endnote w:type="continuationSeparator" w:id="0">
    <w:p w14:paraId="3664CF46" w14:textId="77777777" w:rsidR="005653C8" w:rsidRDefault="00111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5553" w14:textId="4162A706" w:rsidR="00E47EFF" w:rsidRDefault="00C421AD">
    <w:r w:rsidRPr="00C421AD">
      <w:drawing>
        <wp:inline distT="0" distB="0" distL="0" distR="0" wp14:anchorId="1ECAD162" wp14:editId="5E134716">
          <wp:extent cx="5733415" cy="358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358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2050" w14:textId="77777777" w:rsidR="005653C8" w:rsidRDefault="00111743">
      <w:pPr>
        <w:spacing w:line="240" w:lineRule="auto"/>
      </w:pPr>
      <w:r>
        <w:separator/>
      </w:r>
    </w:p>
  </w:footnote>
  <w:footnote w:type="continuationSeparator" w:id="0">
    <w:p w14:paraId="43C8B547" w14:textId="77777777" w:rsidR="005653C8" w:rsidRDefault="00111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F4A3" w14:textId="77777777" w:rsidR="00E47EFF" w:rsidRDefault="00111743">
    <w:pPr>
      <w:ind w:left="-1440"/>
    </w:pPr>
    <w:r>
      <w:rPr>
        <w:noProof/>
      </w:rPr>
      <w:drawing>
        <wp:inline distT="114300" distB="114300" distL="114300" distR="114300" wp14:anchorId="6A0AB724" wp14:editId="3820CC80">
          <wp:extent cx="7715250" cy="938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0" cy="9382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FF"/>
    <w:rsid w:val="00111743"/>
    <w:rsid w:val="005653C8"/>
    <w:rsid w:val="00C421AD"/>
    <w:rsid w:val="00E4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9A45"/>
  <w15:docId w15:val="{7BC7E151-0253-42CC-A363-B2C588A4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C421AD"/>
    <w:pPr>
      <w:tabs>
        <w:tab w:val="center" w:pos="4252"/>
        <w:tab w:val="right" w:pos="8504"/>
      </w:tabs>
      <w:spacing w:line="240" w:lineRule="auto"/>
    </w:pPr>
  </w:style>
  <w:style w:type="character" w:customStyle="1" w:styleId="CabealhoChar">
    <w:name w:val="Cabeçalho Char"/>
    <w:basedOn w:val="Fontepargpadro"/>
    <w:link w:val="Cabealho"/>
    <w:uiPriority w:val="99"/>
    <w:rsid w:val="00C421AD"/>
  </w:style>
  <w:style w:type="paragraph" w:styleId="Rodap">
    <w:name w:val="footer"/>
    <w:basedOn w:val="Normal"/>
    <w:link w:val="RodapChar"/>
    <w:uiPriority w:val="99"/>
    <w:unhideWhenUsed/>
    <w:rsid w:val="00C421AD"/>
    <w:pPr>
      <w:tabs>
        <w:tab w:val="center" w:pos="4252"/>
        <w:tab w:val="right" w:pos="8504"/>
      </w:tabs>
      <w:spacing w:line="240" w:lineRule="auto"/>
    </w:pPr>
  </w:style>
  <w:style w:type="character" w:customStyle="1" w:styleId="RodapChar">
    <w:name w:val="Rodapé Char"/>
    <w:basedOn w:val="Fontepargpadro"/>
    <w:link w:val="Rodap"/>
    <w:uiPriority w:val="99"/>
    <w:rsid w:val="00C4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1726</Words>
  <Characters>9325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Marcon</dc:creator>
  <cp:lastModifiedBy>Rubia</cp:lastModifiedBy>
  <cp:revision>3</cp:revision>
  <cp:lastPrinted>2023-11-20T12:29:00Z</cp:lastPrinted>
  <dcterms:created xsi:type="dcterms:W3CDTF">2023-11-20T11:12:00Z</dcterms:created>
  <dcterms:modified xsi:type="dcterms:W3CDTF">2023-11-20T12:34:00Z</dcterms:modified>
</cp:coreProperties>
</file>